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РОСТОВСКИЙ ГОСУДАРСТВЕННЫЙ ЭКОНОМИЧЕСКИЙ УНИВЕРСИТЕТ «РИНХ»</w:t>
      </w:r>
    </w:p>
    <w:p w:rsidR="007F2093" w:rsidRPr="007F2093" w:rsidRDefault="007F2093" w:rsidP="007F2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Учетно-экономический факультет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D606" wp14:editId="69416032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6286500" cy="0"/>
                <wp:effectExtent l="24765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25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0" to="50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705DnNoAAAAK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Чернышева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0F2A94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БИЗНЕС-АНАЛИЗА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57B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и методические рекомендации по выполнению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93" w:rsidRPr="007F2093" w:rsidRDefault="001D637C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="007F2093"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бакалавров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направлению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«Экономика»</w:t>
      </w:r>
    </w:p>
    <w:p w:rsidR="007F2093" w:rsidRPr="007F2093" w:rsidRDefault="001D637C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  <w:r w:rsidR="007F2093"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.01.09 «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Бизнес-анализ и прогнозирование в организациях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по решению кафедры анализа хозяйственной деятельности и прогнозирования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="005C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профессор 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Ю.Г.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Рецензенты к.э.н., доцент </w:t>
      </w:r>
      <w:r w:rsidR="002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Л.В.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к.э.н.,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Блохина В.Г.</w:t>
      </w: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</w:t>
      </w:r>
      <w:r w:rsidR="009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и требования к выполнению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дисциплине «</w:t>
      </w:r>
      <w:r w:rsidR="007C0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Бизнес-анализа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направлению 38.0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«Экономика»,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.01.09 «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Бизнес-анализ и прогнозирование в организациях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2D30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курсовой работы, темы курсовых работ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оформления и защиты,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перечню используемых источников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© Ростовский государственный экономический университет «РИНХ», 20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13E" w:rsidRDefault="0057413E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93" w:rsidRPr="007F2093" w:rsidRDefault="007F2093" w:rsidP="007F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9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F2093" w:rsidRPr="007F2093" w:rsidRDefault="007F2093" w:rsidP="002D3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93" w:rsidRPr="0091757B" w:rsidRDefault="007F2093" w:rsidP="0091757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1757B" w:rsidRPr="0091757B" w:rsidRDefault="0091757B" w:rsidP="0091757B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оформления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91757B" w:rsidRPr="0091757B" w:rsidRDefault="00CD6DF1" w:rsidP="0091757B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851"/>
          <w:tab w:val="left" w:pos="9355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91757B"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91757B"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91757B" w:rsidRDefault="0091757B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CD6DF1" w:rsidRDefault="00CD6DF1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</w:t>
      </w:r>
    </w:p>
    <w:p w:rsidR="007F2093" w:rsidRPr="0091757B" w:rsidRDefault="007F2093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7F2093" w:rsidRPr="007F2093" w:rsidRDefault="007F2093" w:rsidP="002D3069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D1" w:rsidRDefault="00E54ED1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D1" w:rsidRDefault="00E54ED1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D1" w:rsidRDefault="00E54ED1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Pr="007F2093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7B" w:rsidRDefault="0091757B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F2093" w:rsidRDefault="007F2093" w:rsidP="00DF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DF5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D9" w:rsidRDefault="001D637C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представляет форму контроля знаний по дисциплине «</w:t>
      </w:r>
      <w:r w:rsidR="007C0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бизнес-анализа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учебным планом 38.0</w:t>
      </w:r>
      <w:r w:rsidR="001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.01.09 «</w:t>
      </w:r>
      <w:r w:rsidR="001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Бизнес-анализ и прогнозирование в организациях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F5ED9" w:rsidRPr="00DF5ED9" w:rsidRDefault="00DF5ED9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углубление знаний, развитие способности к научным исследованиям при изучении литературных источников и нормативно-инструктивных материалов, закрепление практических навыков по методике проведения </w:t>
      </w:r>
      <w:r w:rsidR="007C0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анализа. Подготовка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включает следующие этапы:</w:t>
      </w:r>
    </w:p>
    <w:p w:rsidR="00DF5ED9" w:rsidRPr="00DF5ED9" w:rsidRDefault="00DF5ED9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по избранной теме и изучение литературных источников и нормативно-инструктивных материалов.</w:t>
      </w:r>
    </w:p>
    <w:p w:rsidR="00DF5ED9" w:rsidRPr="00DF5ED9" w:rsidRDefault="00DF5ED9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исследование по указанной теме, проведение расчетов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D9" w:rsidRPr="00DF5ED9" w:rsidRDefault="00DF5ED9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и оформление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 предъявляемыми требованиями.</w:t>
      </w:r>
    </w:p>
    <w:p w:rsidR="00DF5ED9" w:rsidRDefault="00600B86" w:rsidP="00600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содержит 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 выбирает вариант в соответствии 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цифрой </w:t>
      </w:r>
      <w:r w:rsidRPr="0060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зачетной книжки. </w:t>
      </w:r>
      <w:r w:rsid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(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,5,9) – тема 3, </w:t>
      </w:r>
      <w:r w:rsidR="00DC49A8" w:rsidRP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(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9A8" w:rsidRP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49A8" w:rsidRP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49A8" w:rsidRP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тема 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9A8" w:rsidRPr="00DC49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98" w:rsidRP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(3,</w:t>
      </w:r>
      <w:r w:rsid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4098" w:rsidRP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54D1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1B4098" w:rsidRPr="001B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тема </w:t>
      </w:r>
      <w:r w:rsidR="000F5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следование требованиям стандарта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PMBOK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проектами. Обязательными элементами курсовой работы должны быть:</w:t>
      </w:r>
    </w:p>
    <w:p w:rsid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проекта;</w:t>
      </w:r>
    </w:p>
    <w:p w:rsidR="00E54ED1" w:rsidRDefault="00E54ED1" w:rsidP="00E54E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заинтересованных сторон и их потребностей;</w:t>
      </w:r>
    </w:p>
    <w:p w:rsid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ценности  и качества проекта;</w:t>
      </w:r>
    </w:p>
    <w:p w:rsid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ограничений проекта;</w:t>
      </w:r>
    </w:p>
    <w:p w:rsid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процессов, границ, потоков данных проекта;</w:t>
      </w:r>
    </w:p>
    <w:p w:rsidR="00E54ED1" w:rsidRPr="00E54ED1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видов риска.</w:t>
      </w:r>
    </w:p>
    <w:p w:rsidR="00DF5ED9" w:rsidRPr="00B15329" w:rsidRDefault="00E54ED1" w:rsidP="00B15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курсовой работе 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D7F" w:rsidRPr="0047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всесторонне</w:t>
      </w:r>
      <w:r w:rsidR="00BA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предложенную тему</w:t>
      </w:r>
      <w:r w:rsidR="0089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научную полемику в этой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построить </w:t>
      </w:r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</w:t>
      </w:r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</w:t>
      </w:r>
      <w:r w:rsidR="00BA3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категориальн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аппарат и нормативную базу;</w:t>
      </w:r>
      <w:r w:rsidR="00BA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текущее состояние проблемы (темы исследования) на данный момент (</w:t>
      </w:r>
      <w:r w:rsidR="00892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российский и зарубежный опыт)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существующие методические аспекты для аналитической оценки по данному вопросу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основные процессы и построить их б</w:t>
      </w:r>
      <w:r w:rsidR="00765CCD" w:rsidRP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лок-схемы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5CCD" w:rsidRP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65CCD" w:rsidRP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5CCD" w:rsidRP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отображаю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765CCD" w:rsidRP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шагов и возможности разветвления процесса</w:t>
      </w:r>
      <w:r w:rsidR="00DA20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проблемные зоны, нуждающиеся в улучшении; </w:t>
      </w:r>
      <w:r w:rsidR="008D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</w:t>
      </w:r>
      <w:r w:rsidR="008D3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r w:rsidR="008D36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4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их потребности</w:t>
      </w:r>
      <w:r w:rsidR="00B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(ожидания)</w:t>
      </w:r>
      <w:r w:rsidR="008D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сформировать требования</w:t>
      </w:r>
      <w:r w:rsidR="00B1532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предложить варианты удовлетворения потребностей заинтересованных сторон, при необходимости опираясь на имеющийся опыт решения анало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</w:t>
      </w:r>
      <w:r w:rsidR="00B153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проблем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D9" w:rsidRDefault="00DF5ED9" w:rsidP="00600B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</w:t>
      </w:r>
      <w:r w:rsidR="004A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исследовани</w:t>
      </w: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7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</w:t>
      </w:r>
      <w:r w:rsidR="00F7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</w:t>
      </w: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="004A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и</w:t>
      </w: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выводами, в которых необходимо </w:t>
      </w:r>
      <w:r w:rsidR="001B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и глубоко оценить состояние изучаемой проблемы</w:t>
      </w:r>
      <w:r w:rsidRPr="0048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работы необходимо привести список использованной литературы.</w:t>
      </w:r>
    </w:p>
    <w:p w:rsidR="002A0F78" w:rsidRPr="00BD56D6" w:rsidRDefault="00A940CC" w:rsidP="00491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работа может содержать приложения.</w:t>
      </w:r>
    </w:p>
    <w:p w:rsidR="00BD56D6" w:rsidRPr="00487B5F" w:rsidRDefault="00BD56D6" w:rsidP="00DF5ED9">
      <w:pPr>
        <w:shd w:val="clear" w:color="auto" w:fill="FFFFFF"/>
        <w:spacing w:after="0" w:line="240" w:lineRule="auto"/>
        <w:ind w:right="-28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7B" w:rsidRPr="00C6772E" w:rsidRDefault="0091757B" w:rsidP="0091757B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6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Pr="00C6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91757B" w:rsidRPr="00C6772E" w:rsidRDefault="0091757B" w:rsidP="0091757B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сдается на кафедру для проверки в компьютерном наборе на одной стороне белой бумаги формата А4 (210×297 мм).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интервал 1,5. (в больших таблицах можно использовать размер 12 или 13, интервал 1,0). Размеры полей: левое – 30 мм, правое – 10 мм, верхнее – 20 мм, нижнее – 20 мм. Текст рамкой не очерчивается.</w:t>
      </w:r>
      <w:r w:rsidR="00F7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работы 25-30 стр.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Нумерация страниц сквозная. Номер страницы ставится сверху в правом углу. Первой страницей считается титульный лист, на котором номер страницы не проставляется. Разделы имеют порядковую нумерацию, нумеруются арабскими цифрами; подразделы, пункты нумеруются в пределах разделов.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титульного листа представлен в приложении 1. Размер полей для титульного листа: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левое поле: 30 мм;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правое поле: 10 мм;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верхнее поле: 20 мм;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нижнее поле: 20 мм.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работы допускаются только общепринятые сокращения (например,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Текст теоретической части делят на разделы (при необходимости – на подразделы и пункты). Название раздела пишут прописными буквами. Каждый раздел следует начинать с нового листа. Пункты внутри разделов с новой страницы не начинаются. Названия разделов размещают в верхней части листа симметрично тексту. Точка в конце названия раздела не ставится, переносы не допускаются. Расстояние между заголовком раздела и текстом – 1 строка. Название раздела не подчеркивается. Названия пунктов располагаются симметрично текста. Отступ после текстовой части предыдущего пункта и перед следующей текстовой частью – 1 строка.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иллюстрациям относятся чертежи, схемы, графики, диаграммы, фотографии,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оформляются в соответствии с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7.32-2001.</w:t>
      </w:r>
      <w:r w:rsidRPr="00B67573">
        <w:t xml:space="preserve"> </w:t>
      </w:r>
      <w:r w:rsidRPr="00B6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иллюстрации состоит из номера главы и порядкового номера иллюстрации в главе, разделенных точкой (то есть, Рисунок 1.2. – второй рисунок первого раздела).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нумеруют аналогично иллюстрациям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курсовой работе одна таблица, ее не нумеруют и слово Таблица не пишут. Заголовок таблицы и слово «Таблица» пишут с прописной буквы, не подчеркивают. Иллюстрации и таблицы размещают в курсовой работе после первого упоминания о них в тексте. На все таблицы должны быть ссылки в тексте, при этом слово «Таблица» в тексте пишут полностью, если таблица не имеет номера; и сокращенно – если имеет номер, например, «… в табл. 1.2.». Иллюстрирующие курсовую работу заполненные бланки первичных документов, имеющие размеры меньшие, чем страница курсовой работы, наклеиваются на чистые листы и оформляются как таблицы. Бланки, превышающие формат страницы, помещаются в приложения. Формулы нумеруются арабскими цифрами в пределах раздела. Номер формулы состоит из номера раздела и порядкового номера формулы в разделе, разделенных точкой. Номер помещают в круглых скобках с правой стороны листа на уровне формулы. Например, (3.1.) – первая формула третьего раздела. Ссылки в тексте на источники следует указывать как порядковый номер источника по списку источников и номер страницы, выделенные квадратными скобками, например, [3, с. 5].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оформляют как продолжение курсовой работы на последних ее страницах после списка использованных источников. Размещаются приложения в порядке появления в тексте ссылок на них. Каждое приложение начинают с новой страницы с указанием в правом верхнем углу слова Приложение, написанного прописными буквами. Каждое приложение должно иметь заголовок. Если в курсовой работе больше одного приложения, их нумеруют последовательно арабскими цифрами (без знака №), например, ПРИЛОЖЕНИЕ 1, ПРИЛОЖЕНИЕ 2 и т.д. 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 Она содержит библиографическое описание (библиографические сведения) о цитируемом, рассматриваемом или упоминаемом в тексте документа другом документе (его составной части или группе документов). Оформление ссылок должно соответствовать ГОСТ Р 7.0.5—2008. 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 представляет собой указатель литературных и документальных письменных источников, использованных при написании курсовой работы. 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составляется на том же языке, что и работа, если использовались источники на иностранных языках, то в библиографическое описание они включаются на языке оригинала. Сведения об использованных источниках оформляются в соответствии с требованиями ГОСТ 7.1-2003.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использовать следующие способы расположения использованных источников: расположение по видам источников (разделение всех документов на группы (классы, разделы)) и алфавитный (источники располагаются по фамилиям авторов, заглавиям книг и статей (если автор не указан или авторов больше трех)). Формирование библиографического списка осуществляется в последовательности: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официальные документы (государственные документы, законодательные материалы);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документальные материалы (архивные документы, статистические сборники, ежегодники, материалы социологических исследований и т.п.) — в хронологическом порядке;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отечественной и зарубежной литературы по теме (книги, статьи, тезисы докладов, нормативно-техническая документация и пр.) — по алфавиту того языка, на котором дается библиографическое описание документа. Если книга написана двумя и более авторами, то их фамилии с инициалами указываются в той последовательности, в какой они даны в книге (а не в алфавитном порядке).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материалы исследуемого предприятия (отчеты, пояснительные записки, выписки и т.д.).</w:t>
      </w:r>
    </w:p>
    <w:p w:rsidR="002A0F78" w:rsidRPr="00F271DD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литературу на иностранных языках помещают в конце списка. </w:t>
      </w:r>
    </w:p>
    <w:p w:rsidR="002A0F78" w:rsidRDefault="002A0F78" w:rsidP="002A0F78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следует нумеровать арабскими цифрами и располагать с абзацного отступа.</w:t>
      </w:r>
    </w:p>
    <w:p w:rsidR="0091757B" w:rsidRPr="00C6772E" w:rsidRDefault="0091757B" w:rsidP="0091757B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D9" w:rsidRDefault="00DF5ED9" w:rsidP="003704AE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04AE" w:rsidRPr="0091757B" w:rsidRDefault="0091757B" w:rsidP="003704AE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44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91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Pr="0091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   </w:t>
      </w:r>
    </w:p>
    <w:p w:rsidR="003704AE" w:rsidRPr="00487B5F" w:rsidRDefault="003704AE" w:rsidP="003704AE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49A8" w:rsidRPr="00DC49A8" w:rsidRDefault="00DC49A8" w:rsidP="00DC4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Устойчивое развитие </w:t>
      </w:r>
      <w:r w:rsidR="00DA2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малого предприятия</w:t>
      </w:r>
      <w:r w:rsidRPr="00DC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49A8" w:rsidRPr="00DC49A8" w:rsidRDefault="00DC49A8" w:rsidP="00DC4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A2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Цифровизация бизнеса (на примере организации)</w:t>
      </w:r>
    </w:p>
    <w:p w:rsidR="003704AE" w:rsidRPr="00DC49A8" w:rsidRDefault="00DC49A8" w:rsidP="00DC4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="00DA2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Экологизация</w:t>
      </w:r>
      <w:proofErr w:type="spellEnd"/>
      <w:r w:rsidR="00DA2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бизнеса (на примере организации)</w:t>
      </w: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D6" w:rsidRPr="00BD56D6" w:rsidRDefault="0091757B" w:rsidP="0091757B">
      <w:pPr>
        <w:tabs>
          <w:tab w:val="left" w:pos="142"/>
          <w:tab w:val="left" w:pos="851"/>
          <w:tab w:val="left" w:pos="9355"/>
        </w:tabs>
        <w:spacing w:after="0" w:line="240" w:lineRule="auto"/>
        <w:ind w:left="720" w:right="-3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D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="00BD56D6" w:rsidRPr="00BD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BD56D6" w:rsidRPr="00BD56D6" w:rsidRDefault="00BD56D6" w:rsidP="00BD56D6">
      <w:pPr>
        <w:tabs>
          <w:tab w:val="left" w:pos="142"/>
          <w:tab w:val="left" w:pos="851"/>
          <w:tab w:val="left" w:pos="9355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D6" w:rsidRDefault="00BD56D6" w:rsidP="00BD56D6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Законченная </w:t>
      </w:r>
      <w:r w:rsidR="00E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содержащая все требуемые элементы оформления, вставленная в обложку и скрепленная по левому краю, сдается для проверки на кафедру. Если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в соответствии с изложенными требованиями кафедры,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и 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ее к защите и возвращает студенту. Если в работе имеются ошибки, руководитель на полях или в рецензии делает соответствующие замечания. После проверки студент должен внести поправки на дополнительных листах или на полях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Подписанная руководителем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защищается в назначенные сроки. Защита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должна быть проведена до начала сессии. При защите студент кратко излагает основные положения работы, последовательность расчетов, 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студент должен свободно ориентироваться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основн</w:t>
      </w:r>
      <w:r w:rsidR="00DB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содержание, 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и показатели, использованные при ее написании, уметь грамотно формулировать аналитические выводы.</w:t>
      </w:r>
    </w:p>
    <w:p w:rsidR="00BD56D6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D6" w:rsidRPr="00BD56D6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6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Критерии оценки</w:t>
      </w:r>
      <w:r w:rsidRPr="00BD5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56D6" w:rsidRPr="00487B5F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</w:t>
      </w: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стройное изложение материала при ответе, усвоение основной и знакомство с дополнительной литературой;</w:t>
      </w:r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усвоил основную литературу, рекомендованную в рабочей программе дисциплины;</w:t>
      </w:r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D56D6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1D637C" w:rsidRPr="00BD56D6" w:rsidRDefault="001D637C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Pr="005C49C4" w:rsidRDefault="005C49C4" w:rsidP="005C49C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</w:t>
      </w:r>
    </w:p>
    <w:p w:rsidR="005C49C4" w:rsidRDefault="005C49C4" w:rsidP="005C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5C49C4" w:rsidP="005C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курсовой работы осуществляется по материалам официальной статистики, данных официальных сайтов имеющих информацию по предметной области исследования.</w:t>
      </w: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1" w:rsidRDefault="00DB4C81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1" w:rsidRDefault="00DB4C81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1" w:rsidRDefault="00DB4C81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1" w:rsidRDefault="00DB4C81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92A1B"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</w:t>
      </w:r>
      <w:r w:rsidR="008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РОССИЙСКОЙ ФЕДЕРАЦИИ</w:t>
      </w: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Ростовский государственный экономический университет «РИНХ»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«Анализ хозяйственной деятельности и прогнозирование»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1D637C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</w:t>
      </w:r>
      <w:r w:rsidR="00D603D8"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DB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БИЗНЕС-АНАЛИЗА</w:t>
      </w:r>
      <w:r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__</w:t>
      </w:r>
    </w:p>
    <w:p w:rsidR="00D603D8" w:rsidRPr="00D603D8" w:rsidRDefault="00D603D8" w:rsidP="00D6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(в </w:t>
      </w:r>
      <w:proofErr w:type="spellStart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адеже</w:t>
      </w:r>
      <w:proofErr w:type="spellEnd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</w:p>
    <w:p w:rsidR="00D603D8" w:rsidRPr="00D603D8" w:rsidRDefault="00744540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профиль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.01.09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Бизнес-анализ и прогнозирование в организациях»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Проверил</w:t>
      </w: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lang w:eastAsia="ru-RU"/>
        </w:rPr>
      </w:pPr>
      <w:r w:rsidRPr="00D603D8">
        <w:rPr>
          <w:rFonts w:ascii="Times New Roman" w:eastAsia="Calibri" w:hAnsi="Times New Roman" w:cs="Times New Roman"/>
          <w:lang w:eastAsia="ru-RU"/>
        </w:rPr>
        <w:t xml:space="preserve">уч. степень, звание </w:t>
      </w:r>
    </w:p>
    <w:p w:rsid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допущена к защите «__»____20</w:t>
      </w:r>
      <w:r w:rsidR="007445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__г. 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Оценка:_____________</w:t>
      </w:r>
    </w:p>
    <w:p w:rsidR="00D603D8" w:rsidRPr="00D603D8" w:rsidRDefault="00D603D8" w:rsidP="00D603D8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201___г.</w:t>
      </w: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образец ОФОРМЛЕНИЯ БИБЛИОГРАФИЧЕСКОГО СПИСКА</w:t>
      </w:r>
    </w:p>
    <w:p w:rsidR="00D603D8" w:rsidRPr="00D603D8" w:rsidRDefault="00D603D8" w:rsidP="00D603D8">
      <w:pPr>
        <w:keepNext/>
        <w:spacing w:after="0" w:line="240" w:lineRule="auto"/>
        <w:ind w:left="-142" w:right="-283" w:firstLine="426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1" w:name="_Toc168422560"/>
    </w:p>
    <w:p w:rsidR="00D603D8" w:rsidRPr="00D603D8" w:rsidRDefault="00D603D8" w:rsidP="00D603D8">
      <w:pPr>
        <w:keepNext/>
        <w:spacing w:after="0" w:line="240" w:lineRule="auto"/>
        <w:ind w:left="-142" w:right="-283" w:firstLine="426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БИБЛИОГРАФИЧЕСКИЙ СПИСОК </w:t>
      </w:r>
      <w:bookmarkEnd w:id="1"/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Бизнес-анализ деятельности организации.: учебник / Под ред. Усенко Л.Н. – 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Альфа-М, 201</w:t>
      </w:r>
      <w:r w:rsidR="006C1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.- 560 стр.</w:t>
      </w:r>
    </w:p>
    <w:p w:rsidR="00D603D8" w:rsidRPr="00D603D8" w:rsidRDefault="00D603D8" w:rsidP="00D603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Ю.В. Экономико-математические методы в учете и анализе: учебное пособие / Рост. гос. </w:t>
      </w:r>
      <w:proofErr w:type="spellStart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(РИНХ) – Ростов-н/Д, 2013.- 96с.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</w:t>
      </w:r>
    </w:p>
    <w:p w:rsidR="00D603D8" w:rsidRPr="00D603D8" w:rsidRDefault="00D603D8" w:rsidP="00D603D8">
      <w:pPr>
        <w:autoSpaceDE w:val="0"/>
        <w:autoSpaceDN w:val="0"/>
        <w:adjustRightInd w:val="0"/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D8" w:rsidRPr="00D603D8" w:rsidRDefault="00D603D8" w:rsidP="00D603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42" w:right="-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анализ предприятия. [Электронный ресурс] / К. Кислов. // Режим доступа: 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kiko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success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konomicheskij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analiz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predpriyatiya</w:t>
        </w:r>
        <w:proofErr w:type="spellEnd"/>
      </w:hyperlink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Опубли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ковано январь 9, 2014 </w:t>
      </w:r>
    </w:p>
    <w:p w:rsidR="00D603D8" w:rsidRPr="00D603D8" w:rsidRDefault="00D603D8" w:rsidP="00D603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42" w:right="-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жилищных правах научных работников [Электронный ресурс]: постановление ВЦИК, СНК РСФСР от 20 авг. 1933 г. (с изм. и доп., внесенными постановлениями ВЦИК, СНК РСФСР от 1 </w:t>
      </w:r>
      <w:proofErr w:type="spell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. 1934 г., от 24 июня 1938 г.). Доступ из справ.-правовой системы «</w:t>
      </w:r>
      <w:proofErr w:type="spell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6C1C9A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БИЗНЕС-АНАЛИЗА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7F2093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и методические рекомендации по выполнению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бакалавров обучающихся по направлению </w:t>
      </w: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 «Экономика»</w:t>
      </w: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 </w:t>
      </w:r>
    </w:p>
    <w:p w:rsidR="00D603D8" w:rsidRPr="00D603D8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38.03.01.09 «Бизнес-анализ и прогнозирование в организациях»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Юлия Гарьевна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7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81"/>
    <w:multiLevelType w:val="hybridMultilevel"/>
    <w:tmpl w:val="84A8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518"/>
    <w:multiLevelType w:val="hybridMultilevel"/>
    <w:tmpl w:val="FF3A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BD"/>
    <w:multiLevelType w:val="hybridMultilevel"/>
    <w:tmpl w:val="25B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1090"/>
    <w:multiLevelType w:val="hybridMultilevel"/>
    <w:tmpl w:val="2F86970A"/>
    <w:lvl w:ilvl="0" w:tplc="A3A22D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65FE"/>
    <w:multiLevelType w:val="hybridMultilevel"/>
    <w:tmpl w:val="1FCADCC6"/>
    <w:lvl w:ilvl="0" w:tplc="EC26138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857B1"/>
    <w:multiLevelType w:val="hybridMultilevel"/>
    <w:tmpl w:val="BC2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F86"/>
    <w:multiLevelType w:val="hybridMultilevel"/>
    <w:tmpl w:val="9432CB22"/>
    <w:lvl w:ilvl="0" w:tplc="B8C8846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0E43E06"/>
    <w:multiLevelType w:val="hybridMultilevel"/>
    <w:tmpl w:val="CB90D04C"/>
    <w:lvl w:ilvl="0" w:tplc="4DD0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66A"/>
    <w:multiLevelType w:val="hybridMultilevel"/>
    <w:tmpl w:val="44BA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5054"/>
    <w:multiLevelType w:val="hybridMultilevel"/>
    <w:tmpl w:val="CB90D04C"/>
    <w:lvl w:ilvl="0" w:tplc="4DD0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B3DCC"/>
    <w:multiLevelType w:val="hybridMultilevel"/>
    <w:tmpl w:val="E00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32A36"/>
    <w:multiLevelType w:val="hybridMultilevel"/>
    <w:tmpl w:val="0E2AE3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9285E"/>
    <w:multiLevelType w:val="hybridMultilevel"/>
    <w:tmpl w:val="940AE768"/>
    <w:lvl w:ilvl="0" w:tplc="7A06AB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6E47DE"/>
    <w:multiLevelType w:val="hybridMultilevel"/>
    <w:tmpl w:val="03E009BA"/>
    <w:lvl w:ilvl="0" w:tplc="25FC7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AE"/>
    <w:rsid w:val="00070DAE"/>
    <w:rsid w:val="000D3E87"/>
    <w:rsid w:val="000F2A94"/>
    <w:rsid w:val="000F54D1"/>
    <w:rsid w:val="00103C3F"/>
    <w:rsid w:val="00186663"/>
    <w:rsid w:val="001B216D"/>
    <w:rsid w:val="001B4098"/>
    <w:rsid w:val="001D637C"/>
    <w:rsid w:val="00204951"/>
    <w:rsid w:val="00277993"/>
    <w:rsid w:val="002A0F78"/>
    <w:rsid w:val="002D3069"/>
    <w:rsid w:val="003601EC"/>
    <w:rsid w:val="003704AE"/>
    <w:rsid w:val="003B5F84"/>
    <w:rsid w:val="0043784E"/>
    <w:rsid w:val="004645B2"/>
    <w:rsid w:val="00477354"/>
    <w:rsid w:val="004910C7"/>
    <w:rsid w:val="004A5744"/>
    <w:rsid w:val="0057413E"/>
    <w:rsid w:val="00586805"/>
    <w:rsid w:val="005C49C4"/>
    <w:rsid w:val="00600B86"/>
    <w:rsid w:val="00676B52"/>
    <w:rsid w:val="006C1C9A"/>
    <w:rsid w:val="006D6C8D"/>
    <w:rsid w:val="00744540"/>
    <w:rsid w:val="00765CCD"/>
    <w:rsid w:val="00776C7A"/>
    <w:rsid w:val="007C0B63"/>
    <w:rsid w:val="007F2093"/>
    <w:rsid w:val="00807021"/>
    <w:rsid w:val="00840B15"/>
    <w:rsid w:val="00892025"/>
    <w:rsid w:val="00892A1B"/>
    <w:rsid w:val="008B2D8B"/>
    <w:rsid w:val="008D36F8"/>
    <w:rsid w:val="00902529"/>
    <w:rsid w:val="0091757B"/>
    <w:rsid w:val="00A940CC"/>
    <w:rsid w:val="00AB50A0"/>
    <w:rsid w:val="00B15329"/>
    <w:rsid w:val="00B449FB"/>
    <w:rsid w:val="00BA3D7F"/>
    <w:rsid w:val="00BD56D6"/>
    <w:rsid w:val="00C6772E"/>
    <w:rsid w:val="00C90EF5"/>
    <w:rsid w:val="00CD619D"/>
    <w:rsid w:val="00CD6DF1"/>
    <w:rsid w:val="00D603D8"/>
    <w:rsid w:val="00DA20B6"/>
    <w:rsid w:val="00DB4146"/>
    <w:rsid w:val="00DB4C81"/>
    <w:rsid w:val="00DC49A8"/>
    <w:rsid w:val="00DF5ED9"/>
    <w:rsid w:val="00E54ED1"/>
    <w:rsid w:val="00E63DAD"/>
    <w:rsid w:val="00EB7AEC"/>
    <w:rsid w:val="00EE6376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D8"/>
    <w:pPr>
      <w:ind w:left="720"/>
      <w:contextualSpacing/>
    </w:pPr>
  </w:style>
  <w:style w:type="character" w:customStyle="1" w:styleId="data">
    <w:name w:val="data"/>
    <w:basedOn w:val="a0"/>
    <w:rsid w:val="00070DAE"/>
  </w:style>
  <w:style w:type="character" w:styleId="a4">
    <w:name w:val="Hyperlink"/>
    <w:basedOn w:val="a0"/>
    <w:uiPriority w:val="99"/>
    <w:semiHidden/>
    <w:unhideWhenUsed/>
    <w:rsid w:val="0007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D8"/>
    <w:pPr>
      <w:ind w:left="720"/>
      <w:contextualSpacing/>
    </w:pPr>
  </w:style>
  <w:style w:type="character" w:customStyle="1" w:styleId="data">
    <w:name w:val="data"/>
    <w:basedOn w:val="a0"/>
    <w:rsid w:val="00070DAE"/>
  </w:style>
  <w:style w:type="character" w:styleId="a4">
    <w:name w:val="Hyperlink"/>
    <w:basedOn w:val="a0"/>
    <w:uiPriority w:val="99"/>
    <w:semiHidden/>
    <w:unhideWhenUsed/>
    <w:rsid w:val="0007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ko-success.com/e-konomicheskij-analiz-predpriyat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АХД</dc:creator>
  <cp:lastModifiedBy>Алина</cp:lastModifiedBy>
  <cp:revision>5</cp:revision>
  <cp:lastPrinted>2021-04-12T13:17:00Z</cp:lastPrinted>
  <dcterms:created xsi:type="dcterms:W3CDTF">2021-04-08T17:47:00Z</dcterms:created>
  <dcterms:modified xsi:type="dcterms:W3CDTF">2021-04-12T13:18:00Z</dcterms:modified>
</cp:coreProperties>
</file>