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4480" w:rsidRDefault="00F71CE6">
      <w:pPr>
        <w:framePr w:h="163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33285" cy="10399395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285" cy="1039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B4480" w:rsidRDefault="006B4480">
      <w:pPr>
        <w:framePr w:h="163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B4480">
          <w:type w:val="continuous"/>
          <w:pgSz w:w="14281" w:h="19264"/>
          <w:pgMar w:top="1440" w:right="1440" w:bottom="360" w:left="1440" w:header="720" w:footer="720" w:gutter="0"/>
          <w:cols w:space="720"/>
          <w:noEndnote/>
        </w:sectPr>
      </w:pPr>
    </w:p>
    <w:p w:rsidR="006B4480" w:rsidRDefault="00F71CE6">
      <w:pPr>
        <w:framePr w:h="169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24775" cy="10795635"/>
            <wp:effectExtent l="0" t="0" r="0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9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B4480" w:rsidRDefault="006B4480">
      <w:pPr>
        <w:framePr w:h="169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B4480">
          <w:pgSz w:w="15055" w:h="19879"/>
          <w:pgMar w:top="1440" w:right="1440" w:bottom="360" w:left="1440" w:header="720" w:footer="720" w:gutter="0"/>
          <w:cols w:space="720"/>
          <w:noEndnote/>
        </w:sectPr>
      </w:pPr>
    </w:p>
    <w:p w:rsidR="006B4480" w:rsidRDefault="00F71CE6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83145" cy="10672445"/>
            <wp:effectExtent l="0" t="0" r="0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45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B4480" w:rsidRDefault="006B4480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B4480">
          <w:pgSz w:w="14515" w:h="19685"/>
          <w:pgMar w:top="1440" w:right="1440" w:bottom="360" w:left="1440" w:header="720" w:footer="720" w:gutter="0"/>
          <w:cols w:space="720"/>
          <w:noEndnote/>
        </w:sectPr>
      </w:pPr>
    </w:p>
    <w:p w:rsidR="006B4480" w:rsidRDefault="00F71CE6">
      <w:pPr>
        <w:framePr w:h="168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33640" cy="10713720"/>
            <wp:effectExtent l="0" t="0" r="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0" cy="1071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B4480" w:rsidRDefault="006B4480">
      <w:pPr>
        <w:framePr w:h="168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B4480">
          <w:pgSz w:w="14746" w:h="19743"/>
          <w:pgMar w:top="1440" w:right="1440" w:bottom="360" w:left="1440" w:header="720" w:footer="720" w:gutter="0"/>
          <w:cols w:space="720"/>
          <w:noEndnote/>
        </w:sectPr>
      </w:pPr>
    </w:p>
    <w:p w:rsidR="006B4480" w:rsidRDefault="00F71CE6">
      <w:pPr>
        <w:framePr w:h="170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92365" cy="10808970"/>
            <wp:effectExtent l="0" t="0" r="0" b="0"/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2365" cy="1080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B4480" w:rsidRDefault="006B4480">
      <w:pPr>
        <w:framePr w:h="170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B4480">
          <w:pgSz w:w="14674" w:h="19897"/>
          <w:pgMar w:top="1440" w:right="1440" w:bottom="360" w:left="1440" w:header="720" w:footer="720" w:gutter="0"/>
          <w:cols w:space="720"/>
          <w:noEndnote/>
        </w:sectPr>
      </w:pPr>
    </w:p>
    <w:p w:rsidR="006B4480" w:rsidRDefault="00F71CE6">
      <w:pPr>
        <w:framePr w:h="169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38110" cy="10741025"/>
            <wp:effectExtent l="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10" cy="1074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B4480" w:rsidRDefault="006B4480">
      <w:pPr>
        <w:framePr w:h="169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B4480">
          <w:pgSz w:w="15073" w:h="19789"/>
          <w:pgMar w:top="1440" w:right="1440" w:bottom="360" w:left="1440" w:header="720" w:footer="720" w:gutter="0"/>
          <w:cols w:space="720"/>
          <w:noEndnote/>
        </w:sectPr>
      </w:pPr>
    </w:p>
    <w:p w:rsidR="006B4480" w:rsidRDefault="00F71CE6">
      <w:pPr>
        <w:framePr w:h="17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70520" cy="10877550"/>
            <wp:effectExtent l="0" t="0" r="0" b="0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0520" cy="1087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B4480" w:rsidRDefault="006B4480">
      <w:pPr>
        <w:framePr w:h="171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B4480">
          <w:pgSz w:w="15433" w:h="20016"/>
          <w:pgMar w:top="1440" w:right="1440" w:bottom="360" w:left="1440" w:header="720" w:footer="720" w:gutter="0"/>
          <w:cols w:space="720"/>
          <w:noEndnote/>
        </w:sectPr>
      </w:pPr>
    </w:p>
    <w:p w:rsidR="006B4480" w:rsidRDefault="00F71CE6">
      <w:pPr>
        <w:framePr w:h="17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38465" cy="108502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8465" cy="1085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B4480" w:rsidRDefault="006B4480">
      <w:pPr>
        <w:framePr w:h="17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B4480">
          <w:pgSz w:w="15541" w:h="19976"/>
          <w:pgMar w:top="1440" w:right="1440" w:bottom="360" w:left="1440" w:header="720" w:footer="720" w:gutter="0"/>
          <w:cols w:space="720"/>
          <w:noEndnote/>
        </w:sectPr>
      </w:pPr>
    </w:p>
    <w:p w:rsidR="006B4480" w:rsidRDefault="00F71CE6">
      <w:pPr>
        <w:framePr w:h="170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7470" cy="108229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82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CE6" w:rsidRDefault="00F71CE6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F71CE6" w:rsidRPr="00F71CE6" w:rsidRDefault="00F71CE6" w:rsidP="00F71CE6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F71CE6" w:rsidRPr="00F71CE6" w:rsidRDefault="00F71CE6" w:rsidP="00F71CE6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Default="00F71CE6" w:rsidP="00F71CE6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</w:pPr>
    </w:p>
    <w:p w:rsidR="00F71CE6" w:rsidRPr="00F71CE6" w:rsidRDefault="00F71CE6" w:rsidP="00F71CE6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499745</wp:posOffset>
            </wp:positionH>
            <wp:positionV relativeFrom="margin">
              <wp:posOffset>370840</wp:posOffset>
            </wp:positionV>
            <wp:extent cx="7192645" cy="10631805"/>
            <wp:effectExtent l="0" t="0" r="0" b="0"/>
            <wp:wrapSquare wrapText="bothSides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645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  <w:br w:type="page"/>
      </w:r>
      <w:r w:rsidRPr="00F71CE6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</w:rPr>
        <w:lastRenderedPageBreak/>
        <w:t>Оглавление</w:t>
      </w:r>
    </w:p>
    <w:p w:rsidR="00F71CE6" w:rsidRPr="00F71CE6" w:rsidRDefault="00F71CE6" w:rsidP="00F71CE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tabs>
          <w:tab w:val="right" w:leader="dot" w:pos="9345"/>
        </w:tabs>
        <w:spacing w:after="100" w:line="240" w:lineRule="auto"/>
        <w:rPr>
          <w:noProof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F71CE6">
        <w:rPr>
          <w:rFonts w:ascii="Times New Roman" w:eastAsia="Times New Roman" w:hAnsi="Times New Roman" w:cs="Times New Roman"/>
          <w:sz w:val="24"/>
          <w:szCs w:val="24"/>
        </w:rPr>
        <w:instrText xml:space="preserve"> TOC \o "1-3" \h \z \u </w:instrText>
      </w:r>
      <w:r w:rsidRPr="00F71CE6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hyperlink w:anchor="_Toc530152695" w:history="1">
        <w:r w:rsidRPr="00F71CE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_Toc530152695 \h </w:instrText>
        </w:r>
        <w:r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71CE6" w:rsidRPr="00F71CE6" w:rsidRDefault="00A10CF9" w:rsidP="00F71CE6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0152696" w:history="1">
        <w:r w:rsidR="00F71CE6" w:rsidRPr="00F71CE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_Toc530152696 \h </w:instrTex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71CE6" w:rsidRPr="00F71CE6" w:rsidRDefault="00A10CF9" w:rsidP="00F71CE6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0152697" w:history="1">
        <w:r w:rsidR="00F71CE6" w:rsidRPr="00F71CE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_Toc530152697 \h </w:instrTex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6</w: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71CE6" w:rsidRPr="00F71CE6" w:rsidRDefault="00A10CF9" w:rsidP="00F71CE6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530152698" w:history="1">
        <w:r w:rsidR="00F71CE6" w:rsidRPr="00F71CE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_Toc530152698 \h </w:instrTex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13</w:t>
        </w:r>
        <w:r w:rsidR="00F71CE6" w:rsidRPr="00F71CE6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F71CE6" w:rsidRPr="00F71CE6" w:rsidRDefault="00F71CE6" w:rsidP="00F71CE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br w:type="page"/>
      </w:r>
    </w:p>
    <w:p w:rsidR="00F71CE6" w:rsidRPr="00F71CE6" w:rsidRDefault="00F71CE6" w:rsidP="00F71CE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0" w:name="_Toc530152695"/>
      <w:r w:rsidRPr="00F71CE6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F71CE6" w:rsidRPr="00F71CE6" w:rsidRDefault="00F71CE6" w:rsidP="00F71CE6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1CE6" w:rsidRPr="00F71CE6" w:rsidRDefault="00F71CE6" w:rsidP="00F71CE6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1.1 Перечень компетенций с указанием этапов их формирования представлен в п. 3 «Требования к результатам освоения дисциплины» рабочей программы дисциплины. </w:t>
      </w:r>
    </w:p>
    <w:p w:rsidR="00F71CE6" w:rsidRPr="00F71CE6" w:rsidRDefault="00F71CE6" w:rsidP="00F71CE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1" w:name="_Toc420739501"/>
      <w:bookmarkStart w:id="2" w:name="_Toc530152696"/>
      <w:r w:rsidRPr="00F71CE6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 xml:space="preserve">2 </w:t>
      </w:r>
      <w:bookmarkEnd w:id="1"/>
      <w:r w:rsidRPr="00F71CE6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F71CE6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 xml:space="preserve">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2.1 Показатели и критерии оценивания компетенций:</w:t>
      </w:r>
    </w:p>
    <w:p w:rsidR="00F71CE6" w:rsidRPr="00F71CE6" w:rsidRDefault="00F71CE6" w:rsidP="00F71CE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tbl>
      <w:tblPr>
        <w:tblW w:w="8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0"/>
        <w:gridCol w:w="2410"/>
        <w:gridCol w:w="2190"/>
        <w:gridCol w:w="1876"/>
      </w:tblGrid>
      <w:tr w:rsidR="00F71CE6" w:rsidRPr="00F71CE6" w:rsidTr="00076AA9">
        <w:trPr>
          <w:trHeight w:val="752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71CE6" w:rsidRPr="00F71CE6" w:rsidRDefault="00F71CE6" w:rsidP="00F71CE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ЗУН, составляющие компетенцию 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71CE6" w:rsidRPr="00F71CE6" w:rsidRDefault="00F71CE6" w:rsidP="00F71CE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Показатели оценивания</w:t>
            </w:r>
          </w:p>
        </w:tc>
        <w:tc>
          <w:tcPr>
            <w:tcW w:w="219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71CE6" w:rsidRPr="00F71CE6" w:rsidRDefault="00F71CE6" w:rsidP="00F71CE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Критерии оценивания</w:t>
            </w: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71CE6" w:rsidRPr="00F71CE6" w:rsidRDefault="00F71CE6" w:rsidP="00F71CE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Средства оценивания</w:t>
            </w:r>
          </w:p>
        </w:tc>
      </w:tr>
      <w:tr w:rsidR="00F71CE6" w:rsidRPr="00F71CE6" w:rsidTr="00076AA9">
        <w:trPr>
          <w:trHeight w:val="430"/>
        </w:trPr>
        <w:tc>
          <w:tcPr>
            <w:tcW w:w="8856" w:type="dxa"/>
            <w:gridSpan w:val="4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ОПК-4 -  способностью находить организационно-управленческие решения в профессиональной деятельности и готовность нести за них ответственность</w:t>
            </w:r>
          </w:p>
        </w:tc>
      </w:tr>
      <w:tr w:rsidR="00F71CE6" w:rsidRPr="00F71CE6" w:rsidTr="00076AA9">
        <w:trPr>
          <w:trHeight w:val="200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З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: </w:t>
            </w: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возможности и инструменты зеленой логистики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Ответы на вопросы о </w:t>
            </w: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тенденциях развития </w:t>
            </w:r>
            <w:proofErr w:type="spellStart"/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зеленойлогистики</w:t>
            </w:r>
            <w:proofErr w:type="spellEnd"/>
          </w:p>
        </w:tc>
        <w:tc>
          <w:tcPr>
            <w:tcW w:w="2190" w:type="dxa"/>
            <w:vMerge w:val="restart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Отлично - выставляется </w:t>
            </w:r>
            <w:proofErr w:type="gramStart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обучающемуся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, если был дан  развёрнутый ответ на поставленный вопрос, в соответствии с  логикой изложения;</w:t>
            </w:r>
          </w:p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Хорошо - выставляется </w:t>
            </w:r>
            <w:proofErr w:type="gramStart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обучающемуся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, если в ответе на поставленный вопрос были неточности;</w:t>
            </w:r>
          </w:p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Удовлетворительно - выставляется обучающемуся, если уровень овладения материалом не позволяет раскрыть ключевые позиции соответствующих компетенций; неудовлетворительно выставляется в случае, если обучающийся не владеет материалом по заданному вопросу</w:t>
            </w: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F71CE6" w:rsidRPr="00F71CE6" w:rsidTr="00076AA9">
        <w:trPr>
          <w:trHeight w:val="106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У: </w:t>
            </w: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находить решения в области логистики, основанные на принципах </w:t>
            </w:r>
            <w:proofErr w:type="spellStart"/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природосбережения</w:t>
            </w:r>
            <w:proofErr w:type="spellEnd"/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Выделять решения в области логистики, которые учитывают влияние на окружающую среду </w:t>
            </w:r>
          </w:p>
        </w:tc>
        <w:tc>
          <w:tcPr>
            <w:tcW w:w="2190" w:type="dxa"/>
            <w:vMerge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F71CE6" w:rsidRPr="00F71CE6" w:rsidTr="00076AA9">
        <w:trPr>
          <w:trHeight w:val="200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В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: </w:t>
            </w:r>
            <w:proofErr w:type="gramStart"/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навыками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 разработки решений, основанных на принципах устойчивого развития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Решения по развитию бизнеса с учетом минимизации влияния на окружающую среду</w:t>
            </w:r>
          </w:p>
        </w:tc>
        <w:tc>
          <w:tcPr>
            <w:tcW w:w="2190" w:type="dxa"/>
            <w:vMerge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F71CE6" w:rsidRPr="00F71CE6" w:rsidTr="00076AA9">
        <w:trPr>
          <w:trHeight w:val="430"/>
        </w:trPr>
        <w:tc>
          <w:tcPr>
            <w:tcW w:w="8856" w:type="dxa"/>
            <w:gridSpan w:val="4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ПК-7 -  способностью, используя отечественные и зарубежные источники информации, собрать необходимые данные проанализировать их и подготовить информационный обзор и/или аналитический отчет </w:t>
            </w:r>
          </w:p>
        </w:tc>
      </w:tr>
      <w:tr w:rsidR="00F71CE6" w:rsidRPr="00F71CE6" w:rsidTr="00076AA9">
        <w:trPr>
          <w:trHeight w:val="200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З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: </w:t>
            </w: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источники информации о тенденциях развития зеленой логистики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Перечень источников, которые использовались при подготовке к опросам и написанию эссе</w:t>
            </w:r>
          </w:p>
        </w:tc>
        <w:tc>
          <w:tcPr>
            <w:tcW w:w="2190" w:type="dxa"/>
            <w:vMerge w:val="restart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Отлично - выставляется </w:t>
            </w:r>
            <w:proofErr w:type="gramStart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обучающемуся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, если был дан  развёрнутый ответ на поставленный вопрос, в соответствии с  логикой изложения;</w:t>
            </w:r>
          </w:p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Хорошо - выставляется </w:t>
            </w:r>
            <w:proofErr w:type="gramStart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обучающемуся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, если в ответе на поставленный вопрос были неточности;</w:t>
            </w:r>
          </w:p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Удовлетворительно - выставляется обучающемуся, если уровень овладения материалом не позволяет раскрыть ключевые позиции соответствующих компетенций; неудовлетворительно выставляется в случае, если обучающийся не владеет материалом по заданному вопросу</w:t>
            </w: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F71CE6" w:rsidRPr="00F71CE6" w:rsidTr="00076AA9">
        <w:trPr>
          <w:trHeight w:val="1011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У: </w:t>
            </w:r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проводить анализ данных российской и зарубежной статистики в области зеленой экономики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Аргументированность ответов на вопросы</w:t>
            </w:r>
          </w:p>
        </w:tc>
        <w:tc>
          <w:tcPr>
            <w:tcW w:w="2190" w:type="dxa"/>
            <w:vMerge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  <w:tr w:rsidR="00F71CE6" w:rsidRPr="00F71CE6" w:rsidTr="00076AA9">
        <w:trPr>
          <w:trHeight w:val="2005"/>
        </w:trPr>
        <w:tc>
          <w:tcPr>
            <w:tcW w:w="238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proofErr w:type="gramStart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В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: </w:t>
            </w:r>
            <w:proofErr w:type="gramStart"/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>навыками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</w:rPr>
              <w:t xml:space="preserve"> подготовки аналитики в области зеленой логистики</w:t>
            </w:r>
          </w:p>
        </w:tc>
        <w:tc>
          <w:tcPr>
            <w:tcW w:w="2410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 xml:space="preserve">Многообразие источников и обоснованность выводом при подготовке анализа </w:t>
            </w:r>
          </w:p>
        </w:tc>
        <w:tc>
          <w:tcPr>
            <w:tcW w:w="2190" w:type="dxa"/>
            <w:vMerge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1874" w:type="dxa"/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F71CE6" w:rsidRPr="00F71CE6" w:rsidRDefault="00F71CE6" w:rsidP="00F71C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  <w:r w:rsidRPr="00F71CE6">
              <w:rPr>
                <w:rFonts w:ascii="Times New Roman" w:eastAsia="Times New Roman" w:hAnsi="Times New Roman" w:cs="Times New Roman"/>
                <w:sz w:val="20"/>
                <w:szCs w:val="24"/>
              </w:rPr>
              <w:t>О, ЭС, ДИ</w:t>
            </w:r>
          </w:p>
        </w:tc>
      </w:tr>
    </w:tbl>
    <w:p w:rsidR="00F71CE6" w:rsidRPr="00F71CE6" w:rsidRDefault="00F71CE6" w:rsidP="00F71CE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i/>
          <w:iCs/>
          <w:sz w:val="24"/>
          <w:szCs w:val="24"/>
        </w:rPr>
        <w:t>* Наименование раздела указывается в соответствии с рабочей программой дисциплины.</w:t>
      </w:r>
    </w:p>
    <w:p w:rsidR="00F71CE6" w:rsidRPr="00F71CE6" w:rsidRDefault="00F71CE6" w:rsidP="00F71CE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i/>
          <w:iCs/>
          <w:sz w:val="24"/>
          <w:szCs w:val="24"/>
        </w:rPr>
        <w:lastRenderedPageBreak/>
        <w:t>**О – опрос, ЭС – эссе, ДИ – деловая (ролевая) игра, и др.</w:t>
      </w:r>
    </w:p>
    <w:p w:rsidR="00F71CE6" w:rsidRPr="00F71CE6" w:rsidRDefault="00F71CE6" w:rsidP="00F71CE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2.2.  Шкалы оценивания  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Текущая аттестация проводится по двум контрольным точкам (содержат темы, охватывающие логически завершенный материал), в каждой из которых выделены четыре вида работ: работа на лекционных занятиях, работа на практических занятиях, самостоятельная работа и аудиторная контрольная работа - опрос. Каждый вид текущего контроля успеваемости студентов оценивает работу обучающихся в баллах.</w:t>
      </w:r>
    </w:p>
    <w:p w:rsidR="00F71CE6" w:rsidRPr="00F71CE6" w:rsidRDefault="00F71CE6" w:rsidP="00F71CE6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1.</w:t>
      </w: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  <w:t>Работа на лекционных занятиях: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Активное участие в обсуждении лекционного материала – способность установить взаимосвязь между пройденным лекционным материалом и рассматриваемой темой, использовать знания, полученные в ходе выполнения самостоятельной работы: 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- аргументированный ответ, своевременное дополнение или корректное пояснение в соответствии с вопросами преподавателя – 0-5 балла;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- активное участие в дискуссии, предложенной преподавателем по теме лекции, – 0-5 балла.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Критерии оценивания: 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Максимальный балл (5 баллов) выставляется, если студент принимает активное участие в дискуссии; демонстрирует наличие глубоких исчерпывающих знаний; грамотное и логически стройное изложение материала при ответе на вопросы преподавателя. В зависимости от правильности, полноты и качественного наполнения ответа обучающегося, сумма его баллов может варьироваться от 0 до 5 баллов. Если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обучающийся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демонстрирует непонимание сущности вопроса, неуверенность и неточность ответов на дополнительные и наводящие вопросы, то баллы ему не выставляются.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2.</w:t>
      </w: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  <w:t>Работа на практических занятиях: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1)</w:t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Корректное использование теоретического материала при обсуждении вопросов, своевременное дополнение или корректное пояснение в соответствии с вопросами преподавателя, – 1 балл; 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2)</w:t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Своевременное, полное и верное выполнение заданий; корректное, содержательно грамотное оформление результатов выполнения заданий в виде рефератов; и защита выполненной работы в устной форме (ответы на вопросы преподавателя и студентов по проделанной работе, по оформленному реферату, а также по теоретическому материалу, использованному в ходе выполнения работы) – 2 балла.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Критерии оценивания: 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Максимальный балл (5 баллов) выставляется, если обучающийся демонстрирует наличие глубоких исчерпывающих знаний; грамотное и логически стройное изложение теоретического материала при обсуждении хода решения прикладных задач с использованием ППП и/или ответе на вопросы преподавателя.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обучающийся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демонстрирует непонимание сущности вопроса, неумение применять знания на практике, неуверенность и неточность ответов на дополнительные и наводящие вопросы, халатное отношение к выполнению задания, то баллы ему не выставляются.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Аудиторная контрольная работа включает выполнение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обучающимся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ответов на контрольные вопросы в аудитории, а также участие в деловой игре.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Критерии оценивания: 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Максимальный балл (5 балла) выставляется, если обучающийся корректно произвел расчеты, демонстрирует наличие глубоких исчерпывающих знаний; правильные, уверенные действия по применению знаний на практике, грамотное и логически стройное изложение материала при решении и оформлении заданий контрольной работы.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обучающийся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демонстрирует непонимание сущности вопроса, неумение применять знания на практике, неуверенность и неточность формулировок при описании решения и выводов, халатное отношение к выполнению контрольной работы, то баллы ему не выставляются.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Участвуя в деловой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игре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студент может заработать максимум 50 баллов, т.е. </w:t>
      </w: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участвовал во всех этапах,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 и находить варианты решений в профессиональной деятельности с учетом минимизации отрицательного воздействия на окружающую среду, навыки сбора и анализа информации в области зеленой экономики  и разработки решений, позволяющих повысить уровень </w:t>
      </w:r>
      <w:proofErr w:type="spell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экологичности</w:t>
      </w:r>
      <w:proofErr w:type="spell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бизнеса.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40 баллов – если студент участвовал во всех этапах,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 и находить варианты решений в профессиональной деятельности с учетом минимизации отрицательного воздействия на окружающую среду, навыки сбора и анализа информации в области зеленой экономики.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30 баллов – если студент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20 баллов – если студент демонстрировал умения анализировать информацию в области зеленой экономики.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4.</w:t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Самостоятельная работа включает самостоятельное выполнение индивидуального, творческого задания по основным темам дисциплины (конкретная форма и сроки выполнения и защиты студентом самостоятельной работы определяются преподавателем в процессе изучения дисциплины), - 10 баллов.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Критерии оценивания: 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Максимальный балл (10 баллов) выставляется, если обучающийся корректно произвел расчеты, демонстрирует наличие глубоких исчерпывающих знаний; правильные, уверенные действия по применению знаний на практике, грамотное и логически стройное изложение материала при решении и оформлении индивидуального задания.</w:t>
      </w:r>
    </w:p>
    <w:p w:rsidR="00F71CE6" w:rsidRPr="00F71CE6" w:rsidRDefault="00F71CE6" w:rsidP="00F71CE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Если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обучающийся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демонстрирует непонимание сущности вопроса, неумение применять знания на практике, неуверенность и неточность формулировок при описании решения и выводов, халатное отношение к выполнению индивидуальной творческой работы, то баллы ему не выставляются.</w:t>
      </w:r>
    </w:p>
    <w:p w:rsidR="00F71CE6" w:rsidRPr="00F71CE6" w:rsidRDefault="00F71CE6" w:rsidP="00F71CE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3.2 Шкалы оценивания:   </w:t>
      </w:r>
    </w:p>
    <w:p w:rsidR="00F71CE6" w:rsidRPr="00F71CE6" w:rsidRDefault="00F71CE6" w:rsidP="00F71CE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балльно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>-рейтинговой системы в 100-балльной шкале.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F71CE6" w:rsidRPr="00F71CE6" w:rsidRDefault="00F71CE6" w:rsidP="00F71CE6">
      <w:pPr>
        <w:widowControl w:val="0"/>
        <w:tabs>
          <w:tab w:val="num" w:pos="720"/>
          <w:tab w:val="num" w:pos="14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- 50-100 баллов (зачет) - 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F71CE6" w:rsidRPr="00F71CE6" w:rsidRDefault="00F71CE6" w:rsidP="00F71CE6">
      <w:pPr>
        <w:widowControl w:val="0"/>
        <w:tabs>
          <w:tab w:val="num" w:pos="720"/>
          <w:tab w:val="num" w:pos="144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- 0-49 баллов (незачет)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F71CE6" w:rsidRPr="00F71CE6" w:rsidRDefault="00F71CE6" w:rsidP="00F71CE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3" w:name="_Toc530152697"/>
      <w:r w:rsidRPr="00F71CE6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71CE6" w:rsidRPr="00F71CE6" w:rsidRDefault="00F71CE6" w:rsidP="00F71CE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Вопросы к зачету по дисциплине «Зеленая логистика»</w:t>
      </w: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1. Использование альтернативных видов топлива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интермодальных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и комбинированных перевозок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более современных/экологичных транспортных средств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альтернативных транспортных средств (например, электромобилей, гибридных транспортных средств)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Снижение скорости движения транспортных сре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дств в ц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>елях экономии топлива и сокращения выбросов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Разработка/пересмотр компонентов логистической системы в целях повышения экологических показателей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Эффективное комплектование грузовых партий и обеспечение полной загрузки транспортных средств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8.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систем маршрутизации в целях сведения до минимума расстояния перевозки (использование ИТ-приложений, 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напри-мер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>, программного обеспечения для планирования маршрутов и онлайновых систем сравнения)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9.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Проектировка экологически чистых зданий (например, с использованием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энергоэффективных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систем освещения и теплоизоляции зданий</w:t>
      </w:r>
      <w:proofErr w:type="gramEnd"/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10.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энергоэффективного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погрузочно-разгрузочного оборудования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11.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альтернативных источников энергии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12.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специальных водных систем (например, установок и ландшафтных материалов, которые позволяют свести до минимума расход воды, а также систем повторного использования бытовых сточных вод)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13.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Эффективное землепользование (например, восстановление 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заброшенных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промзон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14.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Сокращение объема отходов и операций по их перевозке и утилизации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15.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Рециркуляция материалов, где это возможно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16.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Сокращение потребления, где это возможно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17.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Повторное использование материалов, где это возможно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lastRenderedPageBreak/>
        <w:t>18.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Рециркуляции или повторное использование упаковочных материалов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19.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экологичных материалов для первичной упаковки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20.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Сокращение упаковочных отходов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21.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Соблюдение природоохранных норм и реализация программ аудита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22.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Измерение и мониторинг экологических показателей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23.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«зеленых» 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ИТ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(например, сокращение количества серверов, использование «зеленого» программного обеспечения, оптимизация количества резервных копий)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24.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Поощрение коллективных отраслевых усилий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25.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Подготовка персонала (административно-технических сотрудников, служащих и операторов)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26.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Создание новых экспертных групп, занимающихся вопросами обеспечения устойчивости, в составе представителей различных компаний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27.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Поощрение экологической информированности среди сотрудников управляющего звена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28.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Стимулирование внедрения экологически безопасной практики и предоставление соответствующих льгот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29.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Прозрачность стратегий (например, в области информирования потребителей и управления производственно-сбытовыми цепочками)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30.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Обнародование информации о ведущейся экологической работе и 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со-ответствующих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достижениях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31.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Разработка формата официального заявления компании о показателях по экологической устойчивости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32.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Оказание помощи клиентам в соблюдении программ сертификации и поддержка их усилий по достижению «зеленых» целей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33.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Сотрудничество с клиентами в контексте реверсивной логистики и программ рециркуляции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34.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Участие в экологических программах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35.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Развитие партнерских отношений с другими компаниями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Критерии оценивания зачета:</w:t>
      </w:r>
    </w:p>
    <w:p w:rsidR="00F71CE6" w:rsidRPr="00F71CE6" w:rsidRDefault="00F71CE6" w:rsidP="00F71CE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- 84-100 баллов («зачтено»)</w:t>
      </w:r>
      <w:r w:rsidRPr="00F71CE6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изложенный материал фактически верен, </w:t>
      </w:r>
      <w:r w:rsidRPr="00F71CE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наличие глубоких исчерпывающих знаний в объеме пройденной 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F71CE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ных знаний на практике, грамотное и логически стройное изложение материала 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>при ответе, усвоение основной и знакомство с дополнительной литературой;</w:t>
      </w:r>
      <w:proofErr w:type="gramEnd"/>
    </w:p>
    <w:p w:rsidR="00F71CE6" w:rsidRPr="00F71CE6" w:rsidRDefault="00F71CE6" w:rsidP="00F71CE6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- 67-83 баллов («зачтено»)</w:t>
      </w:r>
      <w:r w:rsidRPr="00F71CE6">
        <w:rPr>
          <w:rFonts w:ascii="Times New Roman" w:eastAsia="Times New Roman" w:hAnsi="Times New Roman" w:cs="Times New Roman"/>
          <w:iCs/>
          <w:spacing w:val="-1"/>
          <w:sz w:val="24"/>
          <w:szCs w:val="24"/>
        </w:rPr>
        <w:t xml:space="preserve"> - </w:t>
      </w:r>
      <w:r w:rsidRPr="00F71CE6">
        <w:rPr>
          <w:rFonts w:ascii="Times New Roman" w:eastAsia="Times New Roman" w:hAnsi="Times New Roman" w:cs="Times New Roman"/>
          <w:spacing w:val="-1"/>
          <w:sz w:val="24"/>
          <w:szCs w:val="24"/>
        </w:rPr>
        <w:t>наличие твердых и достаточно полных знаний в объеме пройден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 усвоил основную литературу, рекомендованную в рабочей программе дисциплины;</w:t>
      </w:r>
    </w:p>
    <w:p w:rsidR="00F71CE6" w:rsidRPr="00F71CE6" w:rsidRDefault="00F71CE6" w:rsidP="00F71CE6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- 50-66 баллов («зачтено») - наличие твердых знаний в объеме пройденного курса </w:t>
      </w:r>
      <w:r w:rsidRPr="00F71CE6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>действия по применению знаний на практике;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- 0-49 баллов («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незачтено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>»)</w:t>
      </w:r>
      <w:r w:rsidRPr="00F71CE6">
        <w:rPr>
          <w:rFonts w:ascii="Times New Roman" w:eastAsia="Times New Roman" w:hAnsi="Times New Roman" w:cs="Times New Roman"/>
          <w:iCs/>
          <w:sz w:val="24"/>
          <w:szCs w:val="24"/>
        </w:rPr>
        <w:t xml:space="preserve"> - ответы не связаны с вопросами, 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71CE6" w:rsidRPr="00F71CE6" w:rsidRDefault="00F71CE6" w:rsidP="00F71CE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71CE6" w:rsidRPr="00F71CE6" w:rsidRDefault="00F71CE6" w:rsidP="00F71CE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Вопросы для опроса по дисциплине «Зеленая экономика»</w:t>
      </w: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Модуль 1 «Внутренние операции предприятия в области зеленой логистик»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1.        Использование альтернативных видов топлива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интермодальных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и комбинированных перевозок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более современных/экологичных транспортных средств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4.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альтернативных транспортных средств (например, электромобилей, гибридных транспортных средств)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5.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Снижение скорости движения транспортных сре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дств в ц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>елях экономии топлива и сокращения выбросов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Разработка/пересмотр компонентов логистической системы в целях повышения экологических показателей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7.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Эффективное комплектование грузовых партий и обеспечение полной загрузки транспортных средств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8.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систем маршрутизации в целях сведения до минимума расстояния перевозки (использование ИТ-приложений, 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напри-мер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>, программного обеспечения для планирования маршрутов и онлайновых систем сравнения)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9.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Проектировка экологически чистых зданий (например, с использованием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энергоэффективных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систем освещения и теплоизоляции зданий</w:t>
      </w:r>
      <w:proofErr w:type="gramEnd"/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10.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Использование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энергоэффективного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погрузочно-разгрузочного оборудования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11.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альтернативных источников энергии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12.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специальных водных систем (например, установок и ландшафтных материалов, которые позволяют свести до минимума расход воды, а также систем повторного использования бытовых сточных вод)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13.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 xml:space="preserve">Эффективное землепользование (например, восстановление 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заброшенных</w:t>
      </w:r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промзон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lastRenderedPageBreak/>
        <w:t>14.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Сокращение объема отходов и операций по их перевозке и утилизации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15.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Рециркуляция материалов, где это возможно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16.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Сокращение потребления, где это возможно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17.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Повторное использование материалов, где это возможно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18.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Рециркуляции или повторное использование упаковочных материалов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19.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Использование экологичных материалов для первичной упаковки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20.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Сокращение упаковочных отходов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21.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Соблюдение природоохранных норм и реализация программ аудита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22.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  <w:t>Измерение и мониторинг экологических показателей</w:t>
      </w:r>
    </w:p>
    <w:p w:rsidR="00F71CE6" w:rsidRPr="00F71CE6" w:rsidRDefault="00F71CE6" w:rsidP="00F71CE6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Модуль 2 «Зеленая логистика во внешней среде организации»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Поощрение коллективных отраслевых усилий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Подготовка персонала (административно-технических сотрудников, служащих и операторов)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Создание новых экспертных групп, занимающихся вопросами обеспечения устойчивости, в составе представителей различных компаний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Поощрение экологической информированности среди сотрудников управляющего звена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Стимулирование внедрения экологически безопасной практики и предоставление соответствующих льгот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Прозрачность стратегий (например, в области информирования потребителей и управления производственно-сбытовыми цепочками)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Обнародование информации о ведущейся экологической работе и </w:t>
      </w:r>
      <w:proofErr w:type="gramStart"/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со-ответствующих</w:t>
      </w:r>
      <w:proofErr w:type="gramEnd"/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достижениях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Разработка формата официального заявления компании о показателях по экологической устойчивости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Оказание помощи клиентам в соблюдении программ сертификации и поддержка их усилий по достижению «зеленых» целей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Сотрудничество с клиентами в контексте реверсивной логистики и программ рециркуляции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Участие в экологических программах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Развитие партнерских отношений с другими компаниями.</w:t>
      </w:r>
    </w:p>
    <w:p w:rsidR="00F71CE6" w:rsidRPr="00F71CE6" w:rsidRDefault="00F71CE6" w:rsidP="00F71CE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Использование «зеленых» </w:t>
      </w:r>
      <w:proofErr w:type="gramStart"/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>ИТ</w:t>
      </w:r>
      <w:proofErr w:type="gramEnd"/>
      <w:r w:rsidRPr="00F71CE6"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  <w:t xml:space="preserve"> (например, сокращение количества серверов, использование «зеленого» программного обеспечения, оптимизация количества резервных копий)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Критерии оценки: </w:t>
      </w:r>
    </w:p>
    <w:p w:rsidR="00F71CE6" w:rsidRPr="00F71CE6" w:rsidRDefault="00F71CE6" w:rsidP="00F71CE6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Каждое собеседование оценивается по 5-и балльной системе:</w:t>
      </w:r>
    </w:p>
    <w:p w:rsidR="00F71CE6" w:rsidRPr="00F71CE6" w:rsidRDefault="00F71CE6" w:rsidP="00F71CE6">
      <w:pPr>
        <w:numPr>
          <w:ilvl w:val="0"/>
          <w:numId w:val="1"/>
        </w:numPr>
        <w:spacing w:after="0" w:line="240" w:lineRule="auto"/>
        <w:ind w:left="357" w:hanging="35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5 баллов («отлично») выставляется студенту, если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  <w:proofErr w:type="gramEnd"/>
    </w:p>
    <w:p w:rsidR="00F71CE6" w:rsidRPr="00F71CE6" w:rsidRDefault="00F71CE6" w:rsidP="00F71CE6">
      <w:pPr>
        <w:numPr>
          <w:ilvl w:val="0"/>
          <w:numId w:val="1"/>
        </w:numPr>
        <w:spacing w:after="0" w:line="240" w:lineRule="auto"/>
        <w:ind w:left="357" w:hanging="35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4 балла («хорошо») выставляется студенту, при наличии у студентов твердых и достаточно полных знаний в объеме пройденной программы дисциплины в соответствии с целями обучения, студент четко излагает материал, однако студентом допускаются отдельные логические и стилистические погрешности, студент  усвоил основную литературу, рекомендованную в рабочей программе дисциплины;</w:t>
      </w:r>
    </w:p>
    <w:p w:rsidR="00F71CE6" w:rsidRPr="00F71CE6" w:rsidRDefault="00F71CE6" w:rsidP="00F71CE6">
      <w:pPr>
        <w:numPr>
          <w:ilvl w:val="0"/>
          <w:numId w:val="1"/>
        </w:numPr>
        <w:spacing w:after="0" w:line="240" w:lineRule="auto"/>
        <w:ind w:left="357" w:hanging="35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3 балла («удовлетворительно»)  выставляется студенту, при наличии у него 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F71CE6" w:rsidRPr="00F71CE6" w:rsidRDefault="00F71CE6" w:rsidP="00F71CE6">
      <w:pPr>
        <w:numPr>
          <w:ilvl w:val="0"/>
          <w:numId w:val="1"/>
        </w:numPr>
        <w:spacing w:after="0" w:line="240" w:lineRule="auto"/>
        <w:ind w:left="357" w:hanging="357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0 баллов («неудовлетворительно») выставляется студенту, если его ответы не связаны с вопросами, студент допускает наличие грубых ошибок в ответе, не понимает сущности излагаемого вопроса, не умеет применять знания на практике, неуверенность и неточность ответов на дополнительные и наводящие вопросы.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F71CE6" w:rsidRPr="00F71CE6" w:rsidRDefault="00F71CE6" w:rsidP="00F71CE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Тематика эссе </w:t>
      </w: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по дисциплине «Зеленая логистика»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Повышение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экологичности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городских грузовых транспортных систем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Повышение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экологичности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городских пассажирских транспортных систем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Международное торгово-экономическое и промышленное взаимодействие в области зеленой логистики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Развитие индустрии обращения с твердыми коммунальными отходами;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Раздельный сбор и переработка упаковки: пластика, картона, бумаги, стекла;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Инвестиции в технологические и экономические решения в сфере переработки отходов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«Зелёные» технологии и материалы в строительстве и жилищно-коммунальном хозяйстве;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Устойчивое развитие сельского и лесного хозяйства;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lastRenderedPageBreak/>
        <w:t>- Биоэнергетика и возобновляемые источники энергии;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Благоустройство городов и сельских поселений;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Законодательство в сфере охраны окружающей среды;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- Ликвидация накопленного экологического ущерба в цепях поставок </w:t>
      </w:r>
    </w:p>
    <w:p w:rsidR="00F71CE6" w:rsidRPr="00F71CE6" w:rsidRDefault="00F71CE6" w:rsidP="00F71CE6">
      <w:pPr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- Энергосбережение и энергоэффективность в цепях поставок</w:t>
      </w:r>
    </w:p>
    <w:p w:rsidR="00F71CE6" w:rsidRPr="00F71CE6" w:rsidRDefault="00F71CE6" w:rsidP="00F71CE6">
      <w:pPr>
        <w:widowControl w:val="0"/>
        <w:spacing w:after="0" w:line="240" w:lineRule="auto"/>
        <w:ind w:left="357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 Методические рекомендации по написанию, требования к оформлению</w:t>
      </w: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>представлены в приложение 2 дисциплины «Зеленая логистика», в первую очередь предполагается, что студент с использованием современных технических средств и информационных технологий использует актуальные данные зарубежных и отечественных источников, проводит сравнительный анализ, обобщение и делает аргументированные выводы.</w:t>
      </w:r>
    </w:p>
    <w:p w:rsidR="00F71CE6" w:rsidRPr="00F71CE6" w:rsidRDefault="00F71CE6" w:rsidP="00F71CE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Регламент выступления по итогам написанного эссе – 10-20 минут. Студент излагает материал с использованием презентаций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Power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Point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или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Prezi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>, формулирует собственную научную правовую позицию. Затем докладчику задают вопросы. Студенты высказывают собственные суждения по научной проблеме.</w:t>
      </w:r>
    </w:p>
    <w:p w:rsidR="00F71CE6" w:rsidRPr="00F71CE6" w:rsidRDefault="00F71CE6" w:rsidP="00F71C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71CE6" w:rsidRPr="00F71CE6" w:rsidRDefault="00F71CE6" w:rsidP="00F71C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Эссе оценивается по 10-балльной системе:</w:t>
      </w:r>
    </w:p>
    <w:p w:rsidR="00F71CE6" w:rsidRPr="00F71CE6" w:rsidRDefault="00F71CE6" w:rsidP="00F71CE6">
      <w:pPr>
        <w:numPr>
          <w:ilvl w:val="0"/>
          <w:numId w:val="2"/>
        </w:numPr>
        <w:tabs>
          <w:tab w:val="left" w:pos="993"/>
        </w:tabs>
        <w:spacing w:after="0" w:line="240" w:lineRule="auto"/>
        <w:ind w:firstLine="720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10 баллов («отлично») выставляется студенту, если тема раскрыта в полном объеме, по докладу подготовлена презентация, студентом даны развёрнутые ответы на вопросы преподавателя и студентов;</w:t>
      </w:r>
    </w:p>
    <w:p w:rsidR="00F71CE6" w:rsidRPr="00F71CE6" w:rsidRDefault="00F71CE6" w:rsidP="00F71CE6">
      <w:pPr>
        <w:numPr>
          <w:ilvl w:val="0"/>
          <w:numId w:val="2"/>
        </w:numPr>
        <w:tabs>
          <w:tab w:val="num" w:pos="0"/>
          <w:tab w:val="left" w:pos="993"/>
        </w:tabs>
        <w:spacing w:after="0" w:line="240" w:lineRule="auto"/>
        <w:ind w:firstLine="720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7 баллов («хорошо») выставляется студенту, если тема раскрыта, по докладу подготовлена презентация, однако студентом в ответе на поставленны</w:t>
      </w:r>
      <w:proofErr w:type="gramStart"/>
      <w:r w:rsidRPr="00F71CE6">
        <w:rPr>
          <w:rFonts w:ascii="Times New Roman" w:eastAsia="Times New Roman" w:hAnsi="Times New Roman" w:cs="Times New Roman"/>
          <w:sz w:val="24"/>
          <w:szCs w:val="24"/>
        </w:rPr>
        <w:t>й(</w:t>
      </w:r>
      <w:proofErr w:type="spellStart"/>
      <w:proofErr w:type="gramEnd"/>
      <w:r w:rsidRPr="00F71CE6">
        <w:rPr>
          <w:rFonts w:ascii="Times New Roman" w:eastAsia="Times New Roman" w:hAnsi="Times New Roman" w:cs="Times New Roman"/>
          <w:sz w:val="24"/>
          <w:szCs w:val="24"/>
        </w:rPr>
        <w:t>ые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) вопрос(ы) были допущены неточности; </w:t>
      </w:r>
    </w:p>
    <w:p w:rsidR="00F71CE6" w:rsidRPr="00F71CE6" w:rsidRDefault="00F71CE6" w:rsidP="00F71CE6">
      <w:pPr>
        <w:numPr>
          <w:ilvl w:val="0"/>
          <w:numId w:val="2"/>
        </w:numPr>
        <w:tabs>
          <w:tab w:val="num" w:pos="0"/>
          <w:tab w:val="left" w:pos="993"/>
        </w:tabs>
        <w:spacing w:after="0" w:line="240" w:lineRule="auto"/>
        <w:ind w:firstLine="709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3 балла («удовлетворительно») выставляется студенту, если уровень овладения материалом не позволяет раскрыть ключевые позиции соответствующих компетенций; </w:t>
      </w:r>
    </w:p>
    <w:p w:rsidR="00F71CE6" w:rsidRPr="00F71CE6" w:rsidRDefault="00F71CE6" w:rsidP="00F71CE6">
      <w:pPr>
        <w:numPr>
          <w:ilvl w:val="0"/>
          <w:numId w:val="2"/>
        </w:numPr>
        <w:tabs>
          <w:tab w:val="left" w:pos="993"/>
        </w:tabs>
        <w:spacing w:after="0" w:line="240" w:lineRule="auto"/>
        <w:ind w:firstLine="720"/>
        <w:jc w:val="both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0 баллов («неудовлетворительно») выставляется студенту, если он не владеет материалом по заданному вопросу.</w:t>
      </w:r>
    </w:p>
    <w:p w:rsidR="00F71CE6" w:rsidRPr="00F71CE6" w:rsidRDefault="00F71CE6" w:rsidP="00F71C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Calibri" w:eastAsia="Times New Roman" w:hAnsi="Calibri" w:cs="Times New Roman"/>
          <w:sz w:val="24"/>
          <w:szCs w:val="24"/>
        </w:rPr>
        <w:br w:type="page"/>
      </w: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lastRenderedPageBreak/>
        <w:t>Министерство образования и науки Российской Федерации</w:t>
      </w:r>
    </w:p>
    <w:p w:rsidR="00F71CE6" w:rsidRPr="00F71CE6" w:rsidRDefault="00F71CE6" w:rsidP="00F71CE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Кафедра коммерции и логистики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Деловая игра по дисциплине «Зеленая логистика»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«ЭКОЛОГИЧЕСИЙ СОВЕТ</w:t>
      </w: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  <w:vertAlign w:val="superscript"/>
        </w:rPr>
        <w:footnoteReference w:id="1"/>
      </w: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</w:p>
    <w:p w:rsidR="00F71CE6" w:rsidRPr="00F71CE6" w:rsidRDefault="00F71CE6" w:rsidP="00F71C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Цель игры</w:t>
      </w: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- обучение коллективной форме принятия решений экологического характера и ознакомление студентов с феноменом синергетического эффекта в условиях совместной деятельности.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Содержание и правила игры.</w:t>
      </w: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Каждый участник игры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выполняет роль</w:t>
      </w:r>
      <w:proofErr w:type="gram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эколога-эксперта. Перед ним поставлена задача: подготовить программу выполнения мероприятий по разрешению экологических проблем на уровне среднего промышленного предприятия, региона, на международном уровне и предложить ее на рассмотрение экологическому совету (коллегам по команде), который принимает окончательное решение.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u w:val="single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>I. Участники игры получают три бланка с перечнем необходимых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экологических мероприятий: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№ 1 – на уровне промышленного предприятия;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№ 2 – на уровне крупного региона;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№ 3 – на международном уровне.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Природоохранные мероприятия на уровне промышленного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предприятия (бланк № 1)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1. Использование современных малоотходных и ресурсосберегающих технологий.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2. Использование на предприятии (между цехами),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между</w:t>
      </w:r>
      <w:proofErr w:type="gram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смежными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предприятиями замкнутых цикловых систем.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3. Закрытие отдельных цехов или предприятия в целом.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4. Использование в технологическом процессе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мощных</w:t>
      </w:r>
      <w:proofErr w:type="gram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очистных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сооружений (физико-химические методы очистки, биологическая очистка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и др.).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5. Удаление предприятий на большое расстояние от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населенного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пункта (требуются огромные финансовые затраты, принципиально экологическая проблема не решается).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6. Создание на предприятии обширной экологической службы с использованием автоматического электронного контроля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за</w:t>
      </w:r>
      <w:proofErr w:type="gram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экологической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ситуацией на предприятии.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7. Принятие мер жесткой экономии ресурсов.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8. Окружение предприятия лесным массивом. Деревья обладают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уникальными фильтрующими и сорбционными свойствами: 1 гектар елового леса в среднем сорбирует 30 тонн пыли в год, сосновый бор – 37 тонн,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а 1 гектар дубов – 54 тонны. Кроме того, леса создают над собой зону повышенной концентрации влаги (за счет транспирации), в результате чего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над территорией леса в среднем выпадает на 9-30 % осадков больше, чем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над территорией без растительного покрова. Осадки увлекают с собой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промышленную пыль, тем самым очищают воздух.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9. Отказ от выпуска продукции, производство которой оказывает негативное влияние на экологическую обстановку данного района.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10.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Увеличение высоты труб (происходит усиление трансграничного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переноса вредных веществ).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Природоохранные мероприятия на уровне региона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(бланк № 2)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1. Разработка систем очистки газовых выбросов, сточных вод, отходов.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2. Оценка экологического, экономического и др. ущерба.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3. Организация регионального мониторинга. Региональный мониторинг - система мер по наблюдению и анализу экологической ситуации,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ха</w:t>
      </w:r>
      <w:proofErr w:type="gram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-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spell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рактерной</w:t>
      </w:r>
      <w:proofErr w:type="spell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для данного региона, определение зон загрязнения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окружающей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среды и повышенной опасности для жизнедеятельности живых организмов, включая человека.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4. Использование современных малоотходных и ресурсосберегающих технологий.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5. Прогнозирование последствий антропогенных воздействий, связанных с загрязнением окружающей среды, на биосферу, климат, погоду.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6. Закрытие предприятий, наносящих значительный вред окружающей среде, здоровью человека.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7. Выбор оптимального размещения предприятий, воздействующих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на окружающую среду, на территории региона.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8. Организация системы наблюдений за реакцией животных организмов на антропогенные воздействия.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 xml:space="preserve">9.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Определение экологической нагрузки на человека и природные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экосистемы, сопоставление ее с предельно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допустимыми</w:t>
      </w:r>
      <w:proofErr w:type="gram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и критическими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величинами.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10. Выявление приоритетных направлений природоохранной деятельности на основании фактического состояния окружающей среды и нанесенного ущерба биосфере.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Природоохранные мероприятия на глобальном уровне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(бланк № 3)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1. Увеличение лесопосадок, восстановление и рекультивация лесов.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2. Использование возобновляемых источников энергии и поиск новых экологически чистых источников энергии (термоядерной).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6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3. Разработка и внедрение современных методов очистки, использование очистных сооружений.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4. Международный запрет войн с использованием ядерного оружия,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глобальное сокращение вооружения.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5. Создание Международного экологического центра по координации природоохранных мероприятий на планете.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6. Экологическое просвещение населения (формирование экологических знаний, экологическая реклама и пропаганда).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7. Развитие общей культуры, составной частью которой является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экологическая культура, формирование гуманного отношения человека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к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природе.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8. Создание международных программ по рациональному природопользованию ресурсами планеты.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9. Внедрение малоотходных и ресурсосберегающих технологий в мировом масштабе и обмен новыми технологиями между государствами.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10. </w:t>
      </w: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Организация глобального мониторинга (глобальный мониторинг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– слежение за общемировыми процессами и явлениями в биосфере Земли,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включая все экологические компоненты, и предупреждение о возникновении экстремальных ситуаций).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Участник игры должен определить последовательность мероприятий, в которой необходимо осуществлять их на каждом уровне: в графе «Индивидуальное решение» проставляется порядковый номер (ранг) природоохранного мероприятия по степени важности его в решении экологических проблем на конкретном деятельном уровне.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II. После выполнения индивидуального задания участники объединяются в команды («экологический совет»). Команда имеет право поставить цифру в графу бланков «Командные решения» в случае согласия всех членов команды. До тех пор, пока хоть один из членов команды настаивает на своей последовательности природоохранных мероприятий, команда не имеет право оформлять бланк – продолжается обсуждение.</w:t>
      </w:r>
    </w:p>
    <w:p w:rsidR="00F71CE6" w:rsidRPr="00F71CE6" w:rsidRDefault="00F71CE6" w:rsidP="00F71C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</w:t>
      </w: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 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50 баллов – если студент участвовал во всех этапах,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 и находить варианты решений в профессиональной деятельности с учетом минимизации отрицательного воздействия на окружающую среду, навыки сбора и анализа информации в области зеленой экономики  и разработки решений, позволяющих повысить уровень </w:t>
      </w:r>
      <w:proofErr w:type="spell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экологичности</w:t>
      </w:r>
      <w:proofErr w:type="spellEnd"/>
      <w:proofErr w:type="gramEnd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 xml:space="preserve"> бизнеса.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gramStart"/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40 баллов – если студент участвовал во всех этапах,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 и находить варианты решений в профессиональной деятельности с учетом минимизации отрицательного воздействия на окружающую среду, навыки сбора и анализа информации в области зеленой экономики.</w:t>
      </w:r>
      <w:proofErr w:type="gramEnd"/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30 баллов – если студент демонстрировал знания тенденций развития зеленой экономики, основанные на знании отечественных и зарубежных источников информации, умения анализировать информацию в области зеленой экономики.</w:t>
      </w: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71CE6" w:rsidRPr="00F71CE6" w:rsidRDefault="00F71CE6" w:rsidP="00F71CE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Cs/>
          <w:sz w:val="24"/>
          <w:szCs w:val="24"/>
        </w:rPr>
        <w:t>20 баллов – если студент демонстрировал умения анализировать информацию в области зеленой экономики.</w:t>
      </w:r>
    </w:p>
    <w:p w:rsidR="00F71CE6" w:rsidRPr="00F71CE6" w:rsidRDefault="00F71CE6" w:rsidP="00F71CE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</w:pPr>
      <w:bookmarkStart w:id="4" w:name="_Toc480487764"/>
      <w:bookmarkStart w:id="5" w:name="_Toc530152698"/>
      <w:r w:rsidRPr="00F71CE6">
        <w:rPr>
          <w:rFonts w:ascii="Cambria" w:eastAsia="Times New Roman" w:hAnsi="Cambria" w:cs="Times New Roman"/>
          <w:b/>
          <w:bCs/>
          <w:color w:val="365F91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  <w:bookmarkEnd w:id="5"/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Pr="00F71CE6" w:rsidRDefault="00F71CE6" w:rsidP="00F71CE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F71CE6" w:rsidRPr="00F71CE6" w:rsidRDefault="00F71CE6" w:rsidP="00F71CE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F71CE6" w:rsidRPr="00F71CE6" w:rsidRDefault="00F71CE6" w:rsidP="00F71CE6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ab/>
      </w:r>
      <w:r w:rsidRPr="00F71CE6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зачета. </w:t>
      </w:r>
    </w:p>
    <w:p w:rsidR="00F71CE6" w:rsidRPr="00F71CE6" w:rsidRDefault="00F71CE6" w:rsidP="00F71CE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 xml:space="preserve">           Зачет проводится по расписанию зачетной недели в письменном виде.  Количество вопросов в задании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F71CE6" w:rsidRPr="00F71CE6" w:rsidRDefault="00F71CE6" w:rsidP="00F71CE6">
      <w:pPr>
        <w:rPr>
          <w:rFonts w:ascii="Calibri" w:eastAsia="Times New Roman" w:hAnsi="Calibri" w:cs="Times New Roman"/>
          <w:sz w:val="24"/>
          <w:szCs w:val="24"/>
        </w:rPr>
      </w:pPr>
      <w:r w:rsidRPr="00F71CE6">
        <w:rPr>
          <w:rFonts w:ascii="Calibri" w:eastAsia="Times New Roman" w:hAnsi="Calibri" w:cs="Times New Roman"/>
          <w:sz w:val="24"/>
          <w:szCs w:val="24"/>
        </w:rPr>
        <w:br w:type="page"/>
      </w:r>
    </w:p>
    <w:p w:rsidR="00F71CE6" w:rsidRPr="00F71CE6" w:rsidRDefault="00F71CE6" w:rsidP="00F71CE6">
      <w:pPr>
        <w:framePr w:h="163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71CE6" w:rsidRDefault="00A10CF9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9CDC768" wp14:editId="06679A2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71665" cy="9682480"/>
            <wp:effectExtent l="228600" t="171450" r="229235" b="166370"/>
            <wp:wrapSquare wrapText="bothSides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74"/>
                    <a:stretch/>
                  </pic:blipFill>
                  <pic:spPr bwMode="auto">
                    <a:xfrm rot="-160310">
                      <a:off x="0" y="0"/>
                      <a:ext cx="7001094" cy="972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6" w:name="_GoBack"/>
      <w:bookmarkEnd w:id="6"/>
    </w:p>
    <w:p w:rsid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10CF9" w:rsidRDefault="00A10CF9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10CF9" w:rsidRDefault="00A10CF9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Методические  указания  по  освоению  дисциплины «Зелёная логистика» адресованы  студентам  всех  форм обучения.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Учебным планом по направлению подготовки 38.03.01 «Экономика», профиля 38.03.01.04 «Мировая экономика» предусмотрены следующие виды занятий: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F71CE6" w:rsidRPr="00F71CE6" w:rsidRDefault="00F71CE6" w:rsidP="00F71CE6">
      <w:pPr>
        <w:widowControl w:val="0"/>
        <w:spacing w:after="0" w:line="240" w:lineRule="auto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рассматривается понятие «зелёной» экономики, принципы её функционирования, а также даются рекомендации для самостоятельной работы и подготовке к практическим занятиям. Их цель - обратить внимание обучающихся на общую схему построения соответствующего раздела курса, подчеркнуть важнейшие факты. На этих занятиях могут быть разобраны более подробно отдельные вопросы курса, которые недостаточно освещены в рекомендованных пособиях.</w:t>
      </w:r>
    </w:p>
    <w:p w:rsidR="00F71CE6" w:rsidRPr="00F71CE6" w:rsidRDefault="00F71CE6" w:rsidP="00F71CE6">
      <w:pPr>
        <w:widowControl w:val="0"/>
        <w:spacing w:after="0" w:line="240" w:lineRule="auto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разработки решений в области профессиональной деятельности, учитывающие влияние на окружающую среду.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учебно-методическую литературу;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</w:t>
      </w:r>
      <w:proofErr w:type="gramStart"/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рекомендованные</w:t>
      </w:r>
      <w:proofErr w:type="gramEnd"/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преподавателем при изучении тем.  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эссе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Основная цель предлагаемой исследовательской работы – развить у студентов навыки самостоятельного исследования.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Эссе должно показать глубину освоения студентами дисциплины «Зеленая экономика», умение применять полученные знания в анализе конкретных социально-экономических явлений и процессов, знание основных проблем функционирования зеленой экономики, а также способность обобщить и дать оценку различным предложениям и подходам к их решению, которые содержатся в экономической литературе.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При написании эссе могут быть использованы различные монографии, которые посвящены проблемам функционирования и развития зеленой экономики в России и за рубежом, статьи в периодической печати и научных журналах. Каждый студент в соответствии со своими наклонностями и индивидуальными способностями может выбрать любую заинтересовавшую его тему из предлагаемого перечня работ. По согласованию с преподавателем студент может выбрать тему, не предусмотренную перечнем работ. При этом следует учесть, что предложенная тема должна быть актуальна в теоретическом и практическом отношении и обеспечена необходимой статистической информацией.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</w:t>
      </w:r>
      <w:proofErr w:type="gramStart"/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  .</w:t>
      </w:r>
      <w:proofErr w:type="gramEnd"/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нормативно-правовых актах и энциклопедических словарях.  </w:t>
      </w:r>
    </w:p>
    <w:p w:rsidR="00F71CE6" w:rsidRPr="00F71CE6" w:rsidRDefault="00F71CE6" w:rsidP="00F71CE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9" w:history="1">
        <w:r w:rsidRPr="00F71CE6">
          <w:rPr>
            <w:rFonts w:ascii="Times New Roman" w:eastAsia="Times New Roman" w:hAnsi="Times New Roman" w:cs="Times New Roman"/>
            <w:bCs/>
            <w:sz w:val="28"/>
            <w:szCs w:val="28"/>
            <w:u w:val="single"/>
          </w:rPr>
          <w:t>http://library.rsue.ru/</w:t>
        </w:r>
      </w:hyperlink>
      <w:r w:rsidRPr="00F71CE6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71CE6" w:rsidRPr="00F71CE6" w:rsidRDefault="00F71CE6" w:rsidP="00F71CE6">
      <w:pPr>
        <w:widowControl w:val="0"/>
        <w:spacing w:after="12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оформлению реферата (эссе) </w:t>
      </w:r>
    </w:p>
    <w:p w:rsidR="00F71CE6" w:rsidRPr="00F71CE6" w:rsidRDefault="00F71CE6" w:rsidP="00F71CE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Рекомендуемая структура реферата:</w:t>
      </w:r>
    </w:p>
    <w:p w:rsidR="00F71CE6" w:rsidRPr="00F71CE6" w:rsidRDefault="00F71CE6" w:rsidP="00F71CE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1. Титульный лист. </w:t>
      </w:r>
    </w:p>
    <w:p w:rsidR="00F71CE6" w:rsidRPr="00F71CE6" w:rsidRDefault="00F71CE6" w:rsidP="00F71CE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2. Содержание.</w:t>
      </w:r>
    </w:p>
    <w:p w:rsidR="00F71CE6" w:rsidRPr="00F71CE6" w:rsidRDefault="00F71CE6" w:rsidP="00F71CE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3. Основная часть (как правило, состоит из трех глав). </w:t>
      </w:r>
    </w:p>
    <w:p w:rsidR="00F71CE6" w:rsidRPr="00F71CE6" w:rsidRDefault="00F71CE6" w:rsidP="00F71CE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 xml:space="preserve">4. Список использованных источников, используемых при написании реферата: нормативные акты, учебно-методическая литература, </w:t>
      </w:r>
      <w:proofErr w:type="spellStart"/>
      <w:r w:rsidRPr="00F71CE6">
        <w:rPr>
          <w:rFonts w:ascii="Times New Roman" w:eastAsia="Times New Roman" w:hAnsi="Times New Roman" w:cs="Times New Roman"/>
          <w:sz w:val="24"/>
          <w:szCs w:val="24"/>
        </w:rPr>
        <w:t>интернет-ресурсы</w:t>
      </w:r>
      <w:proofErr w:type="spellEnd"/>
      <w:r w:rsidRPr="00F71CE6">
        <w:rPr>
          <w:rFonts w:ascii="Times New Roman" w:eastAsia="Times New Roman" w:hAnsi="Times New Roman" w:cs="Times New Roman"/>
          <w:sz w:val="24"/>
          <w:szCs w:val="24"/>
        </w:rPr>
        <w:t>, периодические издания.</w:t>
      </w:r>
    </w:p>
    <w:p w:rsidR="00F71CE6" w:rsidRPr="00F71CE6" w:rsidRDefault="00F71CE6" w:rsidP="00F71CE6">
      <w:pPr>
        <w:tabs>
          <w:tab w:val="left" w:pos="108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sz w:val="24"/>
          <w:szCs w:val="24"/>
        </w:rPr>
        <w:t>5. Приложения (схемы, графики, таблицы, сопровождающие эксперимент или отражающие его результаты).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Реферат, как правило, выполняется при помощи компьютерных текстовых редакторов и распечатывается на белой  бумаге,  на  одной  стороне  формата А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Допускается применение двойных листов формата А3 для представления отдельных таблиц и  иллюстрации. Текст  печатается шрифтом </w:t>
      </w:r>
      <w:proofErr w:type="spell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TimesNewRoman</w:t>
      </w:r>
      <w:proofErr w:type="spell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14 через 1,5 интервала.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Реферат представляется в мягком переплете (скоросшивателе).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Текст реферата должен быть аккуратно оформлен и экономически грамотно изложен с учетом требований современной орфографии.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Все листы реферата (текстовые, табличные) должны быть выполнены с соблюдением следующих минимальных размеров полей: с левой стороны - 30 мм;  правой - не менее 10 мм;  сверху  и снизу - 20 мм. При этом текст рамкой не очерчивается.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Страницы  реферата должны иметь сквозную нумерацию. Номер страницы  ставится вверху посредине листа или вверху справа арабскими цифрами, за исключением титульного листа.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Приложения включают в общую нумерацию страниц работы.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Каждая новая глава начинается с новой страницы. Это же правило относится к другим основным структурным частям работы: введению, заключению, библиографическому списку использованной литературы, приложениям.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Расстояние между названием главы и последующим текстом должно быть равно двум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в тексте. Точку в конце заголовка, располагаемого посредине строки, не ставят. Подчеркивать заголовки и переносить слова в заголовке не допускается.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12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Представление табличного материала и иллюстраций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Цифровой материал, когда его много или когда имеется необходимость в сопоставлении и выводе определенных закономерностей, оформляют в реферате в виде таблиц.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содержанию таблицы делятся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аналитические и неаналитические. Аналитические таблицы являются результатом обработки и анализа цифровых показателей.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Как правило, после таких таблиц делается обобщение в качестве нового (выводного) знания, которое вводится в текст словами: «таблица позволяет сделать вывод, что,..», «из таблицы видно, что...», «таблица позволит заключить, что...» и т.п.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Часто такие таблицы дают возможность выявить и сформулировать определенные закономерности.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В неаналитических таблицах помещаются, как правило, необработанные статистические данные, необходимые лишь для информации или констатации.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Обычно таблица состоит из следующих элементов: порядкового номера и тематического заголовка, боковика, заголовков вертикальных граф, горизонтальных и вертикальных граф основной части, т.е. </w:t>
      </w:r>
      <w:proofErr w:type="spell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прографки</w:t>
      </w:r>
      <w:proofErr w:type="spell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Порядковый номер таблицы служит для ее связи с текстом. Он состоит из слова «таблица» и цифры ее номера в отчете (первая цифра - номер раздела (главы), вторая цифра – порядковый номер таблицы в разделе (главе)).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Слово «таблица» пишется с прописной буквы, значок «№» перед порядковым номером и точку после него не ставят (например: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Таблица 1.5, т.е. пятая таблица в первом разделе (главе)).</w:t>
      </w:r>
      <w:proofErr w:type="gramEnd"/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 реферате одна таблица, то ни нумерационный заголовок, ни слово «таблица» не нужны. В этом случае в тексте слово «таблица» необходимо писать без сокращения, например: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Как видно из таблицы...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По результатам анализа (см. табл.) видно, что...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Если в реферате две таблицы и более, то они должны быть пронумерованы и на каждую необходима ссылка в тексте. Слово «таблица» в этом случае приводят в сокращенном виде, знак «№» не ставят, например: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Данные  анализа (табл. 1.5) показывают, что ….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Таблицы должны быть помешены в тексте после абзацев, содержащих ссылку на них. Допускается печатать таблицы  на  следующей после ссылки странице.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Образец оформления таблицы: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Таблица 1.5 –Название таблицы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2"/>
        <w:gridCol w:w="3481"/>
        <w:gridCol w:w="1943"/>
        <w:gridCol w:w="1909"/>
        <w:gridCol w:w="1952"/>
      </w:tblGrid>
      <w:tr w:rsidR="00F71CE6" w:rsidRPr="00F71CE6" w:rsidTr="00076AA9"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№</w:t>
            </w:r>
            <w:proofErr w:type="gramStart"/>
            <w:r w:rsidRPr="00F71C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п</w:t>
            </w:r>
            <w:proofErr w:type="gramEnd"/>
            <w:r w:rsidRPr="00F71C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3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Показатели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Данные за предыдущий период</w:t>
            </w: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Данные за отчетный период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F71C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  <w:t>Изменение данных</w:t>
            </w:r>
          </w:p>
        </w:tc>
      </w:tr>
      <w:tr w:rsidR="00F71CE6" w:rsidRPr="00F71CE6" w:rsidTr="00076AA9"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CE6" w:rsidRPr="00F71CE6" w:rsidRDefault="00F71CE6" w:rsidP="00F71CE6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иллюстрациям относятся чертежи, схемы, графики, фотографии.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Иллюстрации, занимающие менее 1/2 страницы, могут располагаться в тексте работы после первой ссылки на них и обозначаются сокращенно словом «Рис.».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Иллюстрации, занимающие более 1/2 страницы, выносятся из текста, т.к. их  целесообразно выполнять на отдельном листе и давать их надо в разделе «ПРИЛОЖЕНИЯ». В этом случае они обозначаются не как рисунок – «Рис.», а как «Приложение»  под соответствующим номером.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Все иллюстрации в отчете должны быть пронумерованы. Их нумерация аналогична нумерации таблиц. Если иллюстрация в работе единственная, то она не нумеруется.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В тексте на иллюстрации делаются ссылки, содержащие порядковые номера, под которыми иллюстрации помещены в отчете.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В том месте, где речь идет о теме, связанной с иллюстрацией, к ней, помещают ссылку либо в виде заключенного в круглые скобки выражения «(рис. 2.3)»,  либо в виде оборота типа: «...как это видно на рис. 2.3» или «...как это видно из рис. 2.3».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Каждую иллюстрацию необходимо снабжать подрисуночной подписью, которая должна соответствовать основному тексту и самой иллюстрации.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Например: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Рисунок 3.8 – Классификация видов методического обеспечения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Располагать иллюстрации надо так,  чтобы было  удобно  их рассматривать: или без  поворота  работы или с поворотом по часовой стрелке.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При необходимости,  иллюстрации   снабжают   пояснительным текстом, в котором указывают справочные и пояснительные данные. Примечание располагают после номера рисунка.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оформлению </w:t>
      </w: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уравнений и формул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Уравнения и формулы следует выделять из текста в отдельную строку. Выше и ниже каждой формулы или уравнения должно быть  оставлено не менее одной свободной строки. Если уравнение  не умещается в одну строку, оно должно быть перенесено после знака равенства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(=), 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или после знаков плюс (+), минус (-), умножения (х), деления (:). или других математических знаков.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Формулы в реферате нумеруются аналогично нумерации таблиц, арабскими цифрами в круглых скобках в крайнем правом положении на строке.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Скобки необходимо писать так, чтобы они полностью охватывали по высоте заключенные в них формулы. Открывающие и закрывающие скобки одного вида должны быть одинаковой высоты.  В случае применения одинаковых по начертанию скобок внешние скобки должны быть большего размера, чем внутренние.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Формулы располагаются симметрично тексту на отдельной строке. После формулы, ставится запятая и дается в последовательности записи формулы расшифровка значений символов и числовых коэффициентов со слова «где», которое помещается в подстрочном тексте на первой строке. После слова «где» двоеточие не ставится. Например, для расчета оборачиваемости используется следующая формула: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28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28"/>
          <w:sz w:val="24"/>
          <w:szCs w:val="24"/>
        </w:rPr>
        <w:drawing>
          <wp:inline distT="0" distB="0" distL="0" distR="0">
            <wp:extent cx="805180" cy="422910"/>
            <wp:effectExtent l="0" t="0" r="0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80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(1.1)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где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12"/>
          <w:sz w:val="24"/>
          <w:szCs w:val="24"/>
        </w:rPr>
        <w:drawing>
          <wp:inline distT="0" distB="0" distL="0" distR="0">
            <wp:extent cx="204470" cy="231775"/>
            <wp:effectExtent l="0" t="0" r="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23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оборачиваемость, </w:t>
      </w:r>
      <w:proofErr w:type="spell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дн</w:t>
      </w:r>
      <w:proofErr w:type="spell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.;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6"/>
          <w:sz w:val="24"/>
          <w:szCs w:val="24"/>
        </w:rPr>
        <w:drawing>
          <wp:inline distT="0" distB="0" distL="0" distR="0">
            <wp:extent cx="163830" cy="177165"/>
            <wp:effectExtent l="0" t="0" r="0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7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средние остатки оборотных средств, тыс. руб.;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4"/>
          <w:sz w:val="24"/>
          <w:szCs w:val="24"/>
        </w:rPr>
        <w:drawing>
          <wp:inline distT="0" distB="0" distL="0" distR="0">
            <wp:extent cx="163830" cy="163830"/>
            <wp:effectExtent l="0" t="0" r="0" b="0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6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выручка, тыс. руб.;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position w:val="-10"/>
          <w:sz w:val="24"/>
          <w:szCs w:val="24"/>
        </w:rPr>
        <w:drawing>
          <wp:inline distT="0" distB="0" distL="0" distR="0">
            <wp:extent cx="177165" cy="204470"/>
            <wp:effectExtent l="0" t="0" r="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количество дней в периоде, </w:t>
      </w:r>
      <w:proofErr w:type="spell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дн</w:t>
      </w:r>
      <w:proofErr w:type="spell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После расшифровки каждого обозначения формулы ставится точка с запятой, а в последней расшифровке точка.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По каждой формуле желательно приводить практические примеры.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оформлению </w:t>
      </w: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ссылок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При оформлении научно-справочного аппарата требуется выдерживать единообразие сносок (ссылок). Название книг дается по титульному листу. В ссылках на материалы периодических изданий «снимаются» кавычки в их названиях. Ссылки можно представить в двух видах: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в нижней части страницы (в подстрочнике) под чертой, нумерация ссылок на каждой странице;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по тексту, в конце ссылки ставится номер в квадратных скобках в соответствии с порядковым номером в списке использованных источников.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 всех случаях обязательно (при прямом цитировании, изложении авторских взглядов и мнений, использовании статистических данных, результатов социологических исследований и т. д.): в подстрочнике, равно как и в списке литературы указывать автора, цитируемую работу, год и место ее издания, издательство, конкретные номера цитируемых страниц (в подстрочной библиографии). 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оформлению </w:t>
      </w: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библиографического списка  использованных источников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Список должен содержать перечень всех источников, которые использовались по выбранной теме реферата.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Библиографический список должен содержать информацию о литературе и источниках, которые использовались в работе при написании реферата. Он составляется на том же языке, что и реферат, а если студент использовал в своей работе над диссертацией научные публикации или литературу на иностранных языках, то и в библиографическое описание они включаются на языке оригинала.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При формировании библиографического описания научной и иной литературы, использованной при написании реферата, производится описание данных источников, что включает: сведения об авторе или авторах книги (научного </w:t>
      </w: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источника); название источника (книги, монографии, учебника, статьи); сведения о повторности издания; выходные данные: место (город, в котором находится издательство), издательство и год издания; количество страниц;</w:t>
      </w:r>
      <w:proofErr w:type="gramEnd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сведения об иллюстрациях.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Сведения об использованных источниках приводятся в соответствии с требованиями </w:t>
      </w:r>
      <w:hyperlink r:id="rId25" w:tooltip="ГОСТ 7.1-2003" w:history="1">
        <w:r w:rsidRPr="00F71CE6">
          <w:rPr>
            <w:rFonts w:ascii="Times New Roman" w:eastAsia="Times New Roman" w:hAnsi="Times New Roman" w:cs="Times New Roman"/>
            <w:color w:val="000000"/>
            <w:sz w:val="24"/>
            <w:szCs w:val="24"/>
            <w:u w:val="single"/>
            <w:shd w:val="clear" w:color="auto" w:fill="FFFFFF"/>
          </w:rPr>
          <w:t>ГОСТ 7.1-2003</w:t>
        </w:r>
      </w:hyperlink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Следует использовать следующие способы расположения использованных источников: расположение по видам источников (разделение всех документов на группы (классы, разделы)) и алфавитный (источники располагаются по фамилиям авторов, заглавиям книг и статей (если автор не указан или авторов больше трех)). Формирование списка используемых источников осуществляется в последовательности: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1) официальные документы (государственные документы, законодательные материалы</w:t>
      </w:r>
      <w:proofErr w:type="gramStart"/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;):</w:t>
      </w:r>
      <w:proofErr w:type="gramEnd"/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2) документальные материалы (архивные документы, статистические сборники, ежегодники, материалы социологических исследований и т.п.) — в хронологическом порядке;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3) перечень отечественной и зарубежной литературы по теме (книги, статьи, сообщения, тезисы докладов, нормативно-техническая документация и пр.) — по алфавиту того языка, на котором дается библиографическое описание документа.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4) материалы исследуемого предприятия (отчеты, пояснительные записки, выписки и т.д.).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Как правило, литературу на иностранных языках помещают в конце списка. 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Сведения об источниках следует нумеровать арабскими цифрами без точки и располагать с абзацного отступа.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Каждому источнику в списке присваивается порядковый номер, который дается ему при первом упоминании. При дальнейших ссылках на данный источник в документе номер не меняется.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Сведения о книгах, при их описании в списке, должны содержать; фамилию и инициалы автора, название книги (без кавычек), место издания, название издательства и год издания.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Если книга написана двумя и более авторами, то их фамилии с инициалами указываются в той последовательности, в какой они даны в книге (а не в алфавитном порядке).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</w:rPr>
        <w:t>Сведения о статье из периодического издания должны включать: фамилию и инициалы автора, название статьи, после которого ставятся две косые черты, а далее название периодической литературы (журнала, газеты), год выпуска и номер журнала, разделенных запятой.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Методические рекомендации к </w:t>
      </w:r>
      <w:r w:rsidRPr="00F71CE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составлению приложений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процессе подготовки реферата у автора появляется ряд материалов, которые с точки зрения автора должны быть представлены в работе, но в силу значительного объема или информативного характера не могут быть включены в текст реферата.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Такие материалы целесообразно группировать по смысловой нагрузке и прикладывать к реферату в виде приложений. В приложения обычно не включается машинописный текст. В качестве дополнительных и справочных материалов в приложении обычно приводятся в виде таблиц и графиков результаты наблюдений, промежуточные расчеты и другие вспомогательные материалы, полученные и использованные автором в ходе исследований.  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Каждое приложение должно начинаться с нового листа (страницы) с указанием в правом верхнем углу слова «Приложение» и иметь тематический заголовок. При наличии в отчете более одного приложения они нумеруются арабскими цифрами (без знака №), например: «Приложение 1», «Приложение 2» и т.д. Нумерация страниц, на которых даются приложения, должна быть сквозной и продолжать общую нумерацию страниц основного текста.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Связь основного текста с приложениями осуществляется через ссылки, которые употребляются со словом «смотри»; оно обычно сокращается и заключается вместе с цифрой в круглые скобки по форме.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тексте реферата на все приложения должны быть даны ссылки. Приложения располагают в порядке ссылок на них в тексте реферата. Приложения должны иметь общую с остальной частью документа сквозную нумерацию страниц. </w:t>
      </w:r>
    </w:p>
    <w:p w:rsidR="00F71CE6" w:rsidRPr="00F71CE6" w:rsidRDefault="00F71CE6" w:rsidP="00F71C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1CE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После написания реферата, студент расписывается на титульном листе. Реферат может быть сдан на предварительную проверку преподавателю. После проверки  преподавателем реферат рекомендуется к защите на семинарском занятии либо возвращается на доработку. В случае отправления реферата на доработку, студенту необходимо внести соответствующие исправления и дополнения по замечаниям, сделанным преподавателем  и повторно представить реферат на проверку и получить допуск к защите реферата. </w:t>
      </w:r>
    </w:p>
    <w:p w:rsidR="00F71CE6" w:rsidRPr="00F71CE6" w:rsidRDefault="00F71CE6" w:rsidP="00F71CE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4"/>
          <w:szCs w:val="24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4"/>
          <w:szCs w:val="24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napToGrid w:val="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</w:pPr>
    </w:p>
    <w:p w:rsidR="00F71CE6" w:rsidRPr="00F71CE6" w:rsidRDefault="00F71CE6" w:rsidP="00F71CE6">
      <w:pPr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  <w:br w:type="page"/>
      </w:r>
    </w:p>
    <w:p w:rsidR="00F71CE6" w:rsidRPr="00F71CE6" w:rsidRDefault="00F71CE6" w:rsidP="00F71CE6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</w:pPr>
    </w:p>
    <w:p w:rsidR="00F71CE6" w:rsidRPr="00F71CE6" w:rsidRDefault="00F71CE6" w:rsidP="00F71CE6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</w:pPr>
      <w:r w:rsidRPr="00F71CE6">
        <w:rPr>
          <w:rFonts w:ascii="Times New Roman" w:eastAsia="Times New Roman" w:hAnsi="Times New Roman" w:cs="Times New Roman"/>
          <w:i/>
          <w:snapToGrid w:val="0"/>
          <w:sz w:val="24"/>
          <w:szCs w:val="24"/>
        </w:rPr>
        <w:t>Образец оформления титульного листа эссе</w:t>
      </w:r>
    </w:p>
    <w:p w:rsidR="00F71CE6" w:rsidRPr="00F71CE6" w:rsidRDefault="00F71CE6" w:rsidP="00F71CE6">
      <w:pPr>
        <w:widowControl w:val="0"/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</w:rPr>
      </w:pP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</w:rPr>
      </w:pPr>
      <w:r w:rsidRPr="00F71CE6">
        <w:rPr>
          <w:rFonts w:ascii="Times New Roman" w:eastAsia="Times New Roman" w:hAnsi="Times New Roman" w:cs="Times New Roman"/>
          <w:caps/>
          <w:sz w:val="26"/>
          <w:szCs w:val="26"/>
        </w:rPr>
        <w:t>Министерство образования и науки Российской Федерации</w:t>
      </w: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F71CE6">
        <w:rPr>
          <w:rFonts w:ascii="Times New Roman" w:eastAsia="Times New Roman" w:hAnsi="Times New Roman" w:cs="Times New Roman"/>
          <w:sz w:val="26"/>
          <w:szCs w:val="26"/>
        </w:rPr>
        <w:t xml:space="preserve">Федеральное государственное бюджетное образовательное учреждение </w:t>
      </w: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  <w:r w:rsidRPr="00F71CE6">
        <w:rPr>
          <w:rFonts w:ascii="Times New Roman" w:eastAsia="Times New Roman" w:hAnsi="Times New Roman" w:cs="Times New Roman"/>
          <w:sz w:val="26"/>
          <w:szCs w:val="26"/>
        </w:rPr>
        <w:t>высшего образования</w:t>
      </w: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6"/>
          <w:szCs w:val="26"/>
        </w:rPr>
      </w:pPr>
      <w:r w:rsidRPr="00F71CE6">
        <w:rPr>
          <w:rFonts w:ascii="Times New Roman" w:eastAsia="Times New Roman" w:hAnsi="Times New Roman" w:cs="Times New Roman"/>
          <w:caps/>
          <w:sz w:val="26"/>
          <w:szCs w:val="26"/>
        </w:rPr>
        <w:t>«Ростовский государственный ЭКОНОМИЧЕСКИЙ университет (РИНХ)»</w:t>
      </w:r>
    </w:p>
    <w:p w:rsidR="00F71CE6" w:rsidRPr="00F71CE6" w:rsidRDefault="00F71CE6" w:rsidP="00F71CE6">
      <w:pPr>
        <w:spacing w:before="240" w:after="60" w:line="240" w:lineRule="auto"/>
        <w:jc w:val="center"/>
        <w:outlineLvl w:val="7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/>
          <w:iCs/>
          <w:sz w:val="28"/>
          <w:szCs w:val="28"/>
        </w:rPr>
        <w:t>РЕФЕРАТ</w:t>
      </w: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/>
          <w:iCs/>
          <w:sz w:val="28"/>
          <w:szCs w:val="28"/>
        </w:rPr>
        <w:t>По дисциплине «Зеленая логистика»</w:t>
      </w: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b/>
          <w:iCs/>
          <w:sz w:val="28"/>
          <w:szCs w:val="28"/>
        </w:rPr>
        <w:t>на тему «_____________________________________________»</w:t>
      </w:r>
    </w:p>
    <w:p w:rsidR="00F71CE6" w:rsidRPr="00F71CE6" w:rsidRDefault="00F71CE6" w:rsidP="00F71C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71CE6" w:rsidRPr="00F71CE6" w:rsidRDefault="00F71CE6" w:rsidP="00F71CE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71CE6" w:rsidRPr="00F71CE6" w:rsidRDefault="00F71CE6" w:rsidP="00F71CE6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CE6">
        <w:rPr>
          <w:rFonts w:ascii="Times New Roman" w:eastAsia="Calibri" w:hAnsi="Times New Roman" w:cs="Times New Roman"/>
          <w:sz w:val="28"/>
          <w:szCs w:val="28"/>
        </w:rPr>
        <w:t xml:space="preserve">Направление подготовки </w:t>
      </w:r>
    </w:p>
    <w:p w:rsidR="00F71CE6" w:rsidRPr="00F71CE6" w:rsidRDefault="00F71CE6" w:rsidP="00F71CE6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CE6">
        <w:rPr>
          <w:rFonts w:ascii="Times New Roman" w:eastAsia="Calibri" w:hAnsi="Times New Roman" w:cs="Times New Roman"/>
          <w:sz w:val="28"/>
          <w:szCs w:val="28"/>
        </w:rPr>
        <w:t>38.03.01 «Экономика»</w:t>
      </w: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CE6">
        <w:rPr>
          <w:rFonts w:ascii="Times New Roman" w:eastAsia="Calibri" w:hAnsi="Times New Roman" w:cs="Times New Roman"/>
          <w:sz w:val="28"/>
          <w:szCs w:val="28"/>
        </w:rPr>
        <w:t xml:space="preserve">Профиль подготовки </w:t>
      </w:r>
    </w:p>
    <w:p w:rsidR="00F71CE6" w:rsidRPr="00F71CE6" w:rsidRDefault="00F71CE6" w:rsidP="00F71CE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1CE6">
        <w:rPr>
          <w:rFonts w:ascii="Times New Roman" w:eastAsia="Calibri" w:hAnsi="Times New Roman" w:cs="Times New Roman"/>
          <w:sz w:val="28"/>
          <w:szCs w:val="28"/>
        </w:rPr>
        <w:t>38.03.01.04 «Мировая экономика»</w:t>
      </w:r>
    </w:p>
    <w:p w:rsidR="00F71CE6" w:rsidRPr="00F71CE6" w:rsidRDefault="00F71CE6" w:rsidP="00F71CE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F71CE6" w:rsidRPr="00F71CE6" w:rsidRDefault="00F71CE6" w:rsidP="00F71CE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iCs/>
          <w:sz w:val="28"/>
          <w:szCs w:val="28"/>
        </w:rPr>
        <w:t>Уровень образования</w:t>
      </w:r>
    </w:p>
    <w:p w:rsidR="00F71CE6" w:rsidRPr="00F71CE6" w:rsidRDefault="00F71CE6" w:rsidP="00F71CE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iCs/>
          <w:sz w:val="28"/>
          <w:szCs w:val="28"/>
        </w:rPr>
        <w:t>Бакалавриат</w:t>
      </w:r>
    </w:p>
    <w:p w:rsidR="00F71CE6" w:rsidRPr="00F71CE6" w:rsidRDefault="00F71CE6" w:rsidP="00F71CE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71CE6" w:rsidRPr="00F71CE6" w:rsidRDefault="00F71CE6" w:rsidP="00F71CE6">
      <w:pPr>
        <w:shd w:val="clear" w:color="auto" w:fill="FFFFFF"/>
        <w:spacing w:after="0" w:line="240" w:lineRule="auto"/>
        <w:ind w:left="5" w:firstLine="562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F71CE6" w:rsidRPr="00F71CE6" w:rsidRDefault="00F71CE6" w:rsidP="00F71CE6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F71CE6" w:rsidRPr="00F71CE6" w:rsidRDefault="00F71CE6" w:rsidP="00F71CE6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F71CE6" w:rsidRPr="00F71CE6" w:rsidRDefault="00F71CE6" w:rsidP="00F71CE6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F71CE6">
        <w:rPr>
          <w:rFonts w:ascii="Times New Roman" w:eastAsia="Times New Roman" w:hAnsi="Times New Roman" w:cs="Times New Roman"/>
          <w:sz w:val="26"/>
          <w:szCs w:val="26"/>
          <w:lang w:eastAsia="ar-SA"/>
        </w:rPr>
        <w:t>Выполнил студент</w:t>
      </w:r>
    </w:p>
    <w:p w:rsidR="00F71CE6" w:rsidRPr="00F71CE6" w:rsidRDefault="00F71CE6" w:rsidP="00F71CE6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F71CE6">
        <w:rPr>
          <w:rFonts w:ascii="Times New Roman" w:eastAsia="Times New Roman" w:hAnsi="Times New Roman" w:cs="Times New Roman"/>
          <w:sz w:val="26"/>
          <w:szCs w:val="26"/>
          <w:lang w:eastAsia="ar-SA"/>
        </w:rPr>
        <w:t>_______ формы обучения</w:t>
      </w:r>
    </w:p>
    <w:p w:rsidR="00F71CE6" w:rsidRPr="00F71CE6" w:rsidRDefault="00F71CE6" w:rsidP="00F71CE6">
      <w:pPr>
        <w:keepNext/>
        <w:tabs>
          <w:tab w:val="left" w:pos="0"/>
        </w:tabs>
        <w:suppressAutoHyphens/>
        <w:spacing w:after="0" w:line="240" w:lineRule="auto"/>
        <w:jc w:val="both"/>
        <w:outlineLvl w:val="4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F71CE6">
        <w:rPr>
          <w:rFonts w:ascii="Times New Roman" w:eastAsia="Times New Roman" w:hAnsi="Times New Roman" w:cs="Times New Roman"/>
          <w:sz w:val="26"/>
          <w:szCs w:val="26"/>
          <w:lang w:eastAsia="ar-SA"/>
        </w:rPr>
        <w:t>гр._________________             _________________               __________________</w:t>
      </w:r>
    </w:p>
    <w:p w:rsidR="00F71CE6" w:rsidRPr="00F71CE6" w:rsidRDefault="00F71CE6" w:rsidP="00F71CE6">
      <w:pPr>
        <w:suppressAutoHyphen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</w:pPr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  <w:t xml:space="preserve">                                             </w:t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>(подпись)</w:t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  <w:t>(Ф.И.О.)</w:t>
      </w:r>
    </w:p>
    <w:p w:rsidR="00F71CE6" w:rsidRPr="00F71CE6" w:rsidRDefault="00F71CE6" w:rsidP="00F71CE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F71CE6" w:rsidRPr="00F71CE6" w:rsidRDefault="00F71CE6" w:rsidP="00F71CE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F71CE6">
        <w:rPr>
          <w:rFonts w:ascii="Times New Roman" w:eastAsia="Times New Roman" w:hAnsi="Times New Roman" w:cs="Times New Roman"/>
          <w:sz w:val="28"/>
          <w:szCs w:val="24"/>
          <w:lang w:eastAsia="ar-SA"/>
        </w:rPr>
        <w:t>ПРОВЕРЕНО:</w:t>
      </w:r>
    </w:p>
    <w:p w:rsidR="00F71CE6" w:rsidRPr="00F71CE6" w:rsidRDefault="00F71CE6" w:rsidP="00F71CE6">
      <w:pPr>
        <w:keepNext/>
        <w:tabs>
          <w:tab w:val="left" w:pos="0"/>
        </w:tabs>
        <w:suppressAutoHyphens/>
        <w:spacing w:after="0" w:line="240" w:lineRule="auto"/>
        <w:outlineLvl w:val="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F71CE6">
        <w:rPr>
          <w:rFonts w:ascii="Times New Roman" w:eastAsia="Times New Roman" w:hAnsi="Times New Roman" w:cs="Times New Roman"/>
          <w:sz w:val="28"/>
          <w:szCs w:val="24"/>
          <w:lang w:eastAsia="ar-SA"/>
        </w:rPr>
        <w:t>____________________            _________________          __________________</w:t>
      </w:r>
    </w:p>
    <w:p w:rsidR="00F71CE6" w:rsidRPr="00F71CE6" w:rsidRDefault="00F71CE6" w:rsidP="00F71CE6">
      <w:pPr>
        <w:suppressAutoHyphens/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</w:pPr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(</w:t>
      </w:r>
      <w:proofErr w:type="spellStart"/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уч.ст</w:t>
      </w:r>
      <w:proofErr w:type="spellEnd"/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 xml:space="preserve">., </w:t>
      </w:r>
      <w:proofErr w:type="spellStart"/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уч.зв</w:t>
      </w:r>
      <w:proofErr w:type="spellEnd"/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 xml:space="preserve">., должность </w:t>
      </w:r>
      <w:proofErr w:type="spellStart"/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преподаваителя</w:t>
      </w:r>
      <w:proofErr w:type="spellEnd"/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>)</w:t>
      </w:r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8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>(подпись)</w:t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</w:r>
      <w:r w:rsidRPr="00F71CE6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ar-SA"/>
        </w:rPr>
        <w:tab/>
        <w:t>(Ф.И.О.)</w:t>
      </w:r>
    </w:p>
    <w:p w:rsidR="00F71CE6" w:rsidRPr="00F71CE6" w:rsidRDefault="00F71CE6" w:rsidP="00F71CE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F71CE6" w:rsidRPr="00F71CE6" w:rsidRDefault="00F71CE6" w:rsidP="00F71CE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F71CE6" w:rsidRPr="00F71CE6" w:rsidRDefault="00F71CE6" w:rsidP="00F71CE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F71CE6" w:rsidRPr="00F71CE6" w:rsidRDefault="00F71CE6" w:rsidP="00F71CE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:rsidR="00F71CE6" w:rsidRPr="00F71CE6" w:rsidRDefault="00F71CE6" w:rsidP="00F71CE6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  <w:r w:rsidRPr="00F71CE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Ростов-на-Дону – 201__ </w:t>
      </w:r>
    </w:p>
    <w:p w:rsidR="00F71CE6" w:rsidRPr="00F71CE6" w:rsidRDefault="00F71CE6" w:rsidP="00F71CE6">
      <w:pPr>
        <w:rPr>
          <w:rFonts w:ascii="Calibri" w:eastAsia="Times New Roman" w:hAnsi="Calibri" w:cs="Times New Roman"/>
          <w:sz w:val="24"/>
          <w:szCs w:val="24"/>
        </w:rPr>
      </w:pPr>
    </w:p>
    <w:p w:rsidR="006B4480" w:rsidRDefault="006B448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6B4480">
      <w:pgSz w:w="15008" w:h="19926"/>
      <w:pgMar w:top="1440" w:right="1440" w:bottom="36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1CE6" w:rsidRDefault="00F71CE6" w:rsidP="00F71CE6">
      <w:pPr>
        <w:spacing w:after="0" w:line="240" w:lineRule="auto"/>
      </w:pPr>
      <w:r>
        <w:separator/>
      </w:r>
    </w:p>
  </w:endnote>
  <w:endnote w:type="continuationSeparator" w:id="0">
    <w:p w:rsidR="00F71CE6" w:rsidRDefault="00F71CE6" w:rsidP="00F71C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1CE6" w:rsidRDefault="00F71CE6" w:rsidP="00F71CE6">
      <w:pPr>
        <w:spacing w:after="0" w:line="240" w:lineRule="auto"/>
      </w:pPr>
      <w:r>
        <w:separator/>
      </w:r>
    </w:p>
  </w:footnote>
  <w:footnote w:type="continuationSeparator" w:id="0">
    <w:p w:rsidR="00F71CE6" w:rsidRDefault="00F71CE6" w:rsidP="00F71CE6">
      <w:pPr>
        <w:spacing w:after="0" w:line="240" w:lineRule="auto"/>
      </w:pPr>
      <w:r>
        <w:continuationSeparator/>
      </w:r>
    </w:p>
  </w:footnote>
  <w:footnote w:id="1">
    <w:p w:rsidR="00F71CE6" w:rsidRDefault="00F71CE6" w:rsidP="00F71CE6">
      <w:pPr>
        <w:pStyle w:val="a3"/>
      </w:pPr>
      <w:r>
        <w:rPr>
          <w:rStyle w:val="a5"/>
        </w:rPr>
        <w:footnoteRef/>
      </w:r>
      <w:r>
        <w:t xml:space="preserve"> </w:t>
      </w:r>
      <w:r w:rsidRPr="00EB5E4D">
        <w:rPr>
          <w:sz w:val="18"/>
        </w:rPr>
        <w:t>Деловые игры по курсу общей экологии: Методические указания к лабораторным работам по экологии для студентов экономических, механических и строительных специальностей</w:t>
      </w:r>
      <w:proofErr w:type="gramStart"/>
      <w:r w:rsidRPr="00EB5E4D">
        <w:rPr>
          <w:sz w:val="18"/>
        </w:rPr>
        <w:t>/ С</w:t>
      </w:r>
      <w:proofErr w:type="gramEnd"/>
      <w:r w:rsidRPr="00EB5E4D">
        <w:rPr>
          <w:sz w:val="18"/>
        </w:rPr>
        <w:t xml:space="preserve">ост.: </w:t>
      </w:r>
      <w:proofErr w:type="spellStart"/>
      <w:r w:rsidRPr="00EB5E4D">
        <w:rPr>
          <w:sz w:val="18"/>
        </w:rPr>
        <w:t>Ж.Д.Павлова</w:t>
      </w:r>
      <w:proofErr w:type="spellEnd"/>
      <w:r w:rsidRPr="00EB5E4D">
        <w:rPr>
          <w:sz w:val="18"/>
        </w:rPr>
        <w:t xml:space="preserve">, </w:t>
      </w:r>
      <w:proofErr w:type="spellStart"/>
      <w:r w:rsidRPr="00EB5E4D">
        <w:rPr>
          <w:sz w:val="18"/>
        </w:rPr>
        <w:t>О.В.Плешакова</w:t>
      </w:r>
      <w:proofErr w:type="spellEnd"/>
      <w:r w:rsidRPr="00EB5E4D">
        <w:rPr>
          <w:sz w:val="18"/>
        </w:rPr>
        <w:t xml:space="preserve">, </w:t>
      </w:r>
      <w:proofErr w:type="spellStart"/>
      <w:r w:rsidRPr="00EB5E4D">
        <w:rPr>
          <w:sz w:val="18"/>
        </w:rPr>
        <w:t>С.А.Эмралиева</w:t>
      </w:r>
      <w:proofErr w:type="spellEnd"/>
      <w:r w:rsidRPr="00EB5E4D">
        <w:rPr>
          <w:sz w:val="18"/>
        </w:rPr>
        <w:t xml:space="preserve">. – Омск: Изд-во </w:t>
      </w:r>
      <w:proofErr w:type="spellStart"/>
      <w:r w:rsidRPr="00EB5E4D">
        <w:rPr>
          <w:sz w:val="18"/>
        </w:rPr>
        <w:t>СибАДИ</w:t>
      </w:r>
      <w:proofErr w:type="spellEnd"/>
      <w:r w:rsidRPr="00EB5E4D">
        <w:rPr>
          <w:sz w:val="18"/>
        </w:rPr>
        <w:t>, 2004. – 26 с.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0070A"/>
    <w:multiLevelType w:val="hybridMultilevel"/>
    <w:tmpl w:val="69A683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F8657BA"/>
    <w:multiLevelType w:val="hybridMultilevel"/>
    <w:tmpl w:val="6F743B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CE6"/>
    <w:rsid w:val="006B4480"/>
    <w:rsid w:val="00A10CF9"/>
    <w:rsid w:val="00F71C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F71CE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F71CE6"/>
    <w:rPr>
      <w:rFonts w:ascii="Times New Roman" w:eastAsia="Times New Roman" w:hAnsi="Times New Roman" w:cs="Times New Roman"/>
      <w:sz w:val="20"/>
      <w:szCs w:val="20"/>
    </w:rPr>
  </w:style>
  <w:style w:type="character" w:styleId="a5">
    <w:name w:val="footnote reference"/>
    <w:uiPriority w:val="99"/>
    <w:semiHidden/>
    <w:unhideWhenUsed/>
    <w:rsid w:val="00F71CE6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F71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71C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F71CE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F71CE6"/>
    <w:rPr>
      <w:rFonts w:ascii="Times New Roman" w:eastAsia="Times New Roman" w:hAnsi="Times New Roman" w:cs="Times New Roman"/>
      <w:sz w:val="20"/>
      <w:szCs w:val="20"/>
    </w:rPr>
  </w:style>
  <w:style w:type="character" w:styleId="a5">
    <w:name w:val="footnote reference"/>
    <w:uiPriority w:val="99"/>
    <w:semiHidden/>
    <w:unhideWhenUsed/>
    <w:rsid w:val="00F71CE6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F71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71C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3.wm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://www.xn--80aaa4a0ajicdpl.xn--p1ai/gost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w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wm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wmf"/><Relationship Id="rId10" Type="http://schemas.openxmlformats.org/officeDocument/2006/relationships/image" Target="media/image3.jpeg"/><Relationship Id="rId19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w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5794</Words>
  <Characters>42908</Characters>
  <Application>Microsoft Office Word</Application>
  <DocSecurity>0</DocSecurity>
  <Lines>357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3</cp:revision>
  <dcterms:created xsi:type="dcterms:W3CDTF">2018-11-27T07:23:00Z</dcterms:created>
  <dcterms:modified xsi:type="dcterms:W3CDTF">2018-11-27T07:42:00Z</dcterms:modified>
</cp:coreProperties>
</file>